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9" w:type="dxa"/>
        <w:tblBorders>
          <w:top w:val="nil"/>
          <w:left w:val="nil"/>
          <w:bottom w:val="nil"/>
          <w:right w:val="nil"/>
          <w:insideH w:val="nil"/>
          <w:insideV w:val="nil"/>
        </w:tblBorders>
        <w:tblLayout w:type="fixed"/>
      </w:tblPr>
      <w:tblGrid>
        <w:gridCol w:w="4500"/>
        <w:gridCol w:w="4849"/>
      </w:tblGrid>
      <w:tr>
        <w:trPr>
          <w:trHeight w:val="1700"/>
        </w:trPr>
        <w:tc>
          <w:tcPr>
            <w:tcW w:w="4500" w:type="dxa"/>
            <w:tcBorders>
              <w:top w:val="nil"/>
              <w:left w:val="nil"/>
              <w:bottom w:val="nil"/>
              <w:right w:val="nil"/>
            </w:tcBorders>
          </w:tcPr>
          <w:p>
            <w:pPr>
              <w:spacing w:before="0" w:after="0"/>
            </w:pPr>
          </w:p>
        </w:tc>
        <w:tc>
          <w:tcPr>
            <w:tcW w:w="4849" w:type="dxa"/>
            <w:tcBorders>
              <w:top w:val="nil"/>
              <w:left w:val="nil"/>
              <w:bottom w:val="nil"/>
              <w:right w:val="nil"/>
            </w:tcBorders>
          </w:tcPr>
          <w:p>
            <w:pPr>
              <w:jc w:val="right"/>
              <w:spacing w:before="0" w:after="0"/>
            </w:pPr>
            <w:r>
              <w:rPr>
                <w:noProof/>
              </w:rPr>
              <w:drawing>
                <wp:inline distT="0" distB="0" distL="0" distR="0">
                  <wp:extent cx="2057400" cy="720000"/>
                  <wp:effectExtent l="0" t="0" r="0" b="0"/>
                  <wp:docPr id="100" name="Humil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ileyLogo"/>
                          <pic:cNvPicPr/>
                        </pic:nvPicPr>
                        <pic:blipFill>
                          <a:blip r:embed="rIdLogoCover"/>
                          <a:stretch>
                            <a:fillRect/>
                          </a:stretch>
                        </pic:blipFill>
                        <pic:spPr>
                          <a:xfrm>
                            <a:off x="0" y="0"/>
                            <a:ext cx="2057400" cy="720000"/>
                          </a:xfrm>
                          <a:prstGeom prst="rect">
                            <a:avLst/>
                          </a:prstGeom>
                        </pic:spPr>
                      </pic:pic>
                    </a:graphicData>
                  </a:graphic>
                </wp:inline>
              </w:drawing>
            </w:r>
          </w:p>
        </w:tc>
      </w:tr>
    </w:tbl>
    <w:p>
      <w:pPr>
        <w:spacing w:before="0" w:after="0"/>
      </w:pPr>
    </w:p>
    <w:p>
      <w:pPr>
        <w:pBdr>
          <w:left w:val="single" w:sz="18" w:space="8" w:color="00B060"/>
        </w:pBdr>
        <w:ind w:left="120"/>
        <w:spacing w:before="0" w:after="60"/>
      </w:pPr>
      <w:r>
        <w:rPr>
          <w:rFonts w:ascii="Calibri" w:hAnsi="Calibri"/>
          <w:b/>
          <w:color w:val="00B060"/>
          <w:sz w:val="18"/>
          <w:spacing w:val="10"/>
        </w:rPr>
        <w:t>Standard Operating Procedure · Quy trình thao tác chuẩn</w:t>
      </w:r>
    </w:p>
    <w:p>
      <w:pPr>
        <w:spacing w:before="120" w:after="0"/>
      </w:pPr>
      <w:r>
        <w:rPr>
          <w:rFonts w:ascii="Calibri" w:hAnsi="Calibri"/>
          <w:b/>
          <w:color w:val="205090"/>
          <w:sz w:val="96"/>
        </w:rPr>
        <w:t xml:space="preserve">Electronic Records &amp;</w:t>
      </w:r>
    </w:p>
    <w:p>
      <w:pPr>
        <w:spacing w:before="0" w:after="60"/>
      </w:pPr>
      <w:r>
        <w:rPr>
          <w:rFonts w:ascii="Calibri" w:hAnsi="Calibri"/>
          <w:b/>
          <w:color w:val="205090"/>
          <w:sz w:val="96"/>
        </w:rPr>
        <w:t xml:space="preserve">Electronic Signatures.</w:t>
      </w:r>
      <w:r>
        <w:rPr>
          <w:rFonts w:ascii="Calibri" w:hAnsi="Calibri"/>
          <w:b/>
          <w:color w:val="00B060"/>
          <w:sz w:val="96"/>
        </w:rPr>
        <w:t>.</w:t>
      </w:r>
    </w:p>
    <w:p>
      <w:pPr>
        <w:spacing w:before="0" w:after="240"/>
      </w:pPr>
      <w:r>
        <w:rPr>
          <w:rFonts w:ascii="Calibri" w:hAnsi="Calibri"/>
          <w:i/>
          <w:color w:val="5C6470"/>
          <w:sz w:val="22"/>
        </w:rPr>
        <w:t>Hồ sơ điện tử &amp; Chữ ký điện tử</w:t>
      </w:r>
    </w:p>
    <w:p>
      <w:pPr>
        <w:spacing w:before="120" w:after="60"/>
      </w:pPr>
      <w:r>
        <w:rPr>
          <w:rFonts w:ascii="Calibri" w:hAnsi="Calibri"/>
          <w:color w:val="3168A8"/>
          <w:sz w:val="26"/>
        </w:rPr>
        <w:t>21 CFR Part 11 compliance for the Humiley People &amp; Workplace Portal.</w:t>
      </w:r>
    </w:p>
    <w:p>
      <w:pPr>
        <w:spacing w:before="0" w:after="360"/>
      </w:pPr>
      <w:r>
        <w:rPr>
          <w:rFonts w:ascii="Calibri" w:hAnsi="Calibri"/>
          <w:i/>
          <w:color w:val="5C6470"/>
          <w:sz w:val="20"/>
        </w:rPr>
        <w:t>Tuân thủ 21 CFR Part 11 cho Cổng Nhân sự &amp; Vận hành Humiley.</w:t>
      </w:r>
    </w:p>
    <w:p>
      <w:pPr>
        <w:pBdr>
          <w:bottom w:val="single" w:sz="18" w:space="1" w:color="00B060"/>
        </w:pBdr>
        <w:tabs>
          <w:tab w:val="left" w:pos="2552"/>
        </w:tabs>
        <w:spacing w:before="0" w:after="360"/>
      </w:pPr>
      <w:r>
        <w:rPr>
          <w:sz w:val="8"/>
        </w:rPr>
        <w:tab/>
      </w:r>
    </w:p>
    <w:tbl>
      <w:tblPr>
        <w:tblW w:w="9349" w:type="dxa"/>
        <w:tblBorders>
          <w:top w:val="nil"/>
          <w:left w:val="nil"/>
          <w:bottom w:val="nil"/>
          <w:right w:val="nil"/>
          <w:insideH w:val="nil"/>
          <w:insideV w:val="nil"/>
        </w:tblBorders>
        <w:tblLayout w:type="fixed"/>
      </w:tblPr>
      <w:tblGrid>
        <w:gridCol w:w="3000"/>
        <w:gridCol w:w="6349"/>
      </w:tblGrid>
      <w:tr>
        <w:trPr>
          <w:trHeight w:val="500"/>
        </w:trPr>
        <w:tc>
          <w:tcPr>
            <w:tcW w:w="3000" w:type="dxa"/>
            <w:tcBorders>
              <w:top w:val="nil"/>
              <w:left w:val="nil"/>
              <w:bottom w:val="nil"/>
              <w:right w:val="nil"/>
            </w:tcBorders>
            <w:shd w:val="clear" w:color="auto" w:fill="F7F9FC"/>
            <w:tcMar>
              <w:top w:w="100" w:type="dxa"/>
              <w:bottom w:w="100" w:type="dxa"/>
              <w:left w:w="220" w:type="dxa"/>
              <w:right w:w="120" w:type="dxa"/>
            </w:tcMar>
            <w:vAlign w:val="center"/>
          </w:tcPr>
          <w:p>
            <w:pPr>
              <w:spacing w:before="0" w:after="0"/>
            </w:pPr>
            <w:r>
              <w:rPr>
                <w:rFonts w:ascii="Calibri" w:hAnsi="Calibri"/>
                <w:b/>
                <w:color w:val="008548"/>
                <w:sz w:val="22"/>
              </w:rPr>
              <w:t xml:space="preserve">DOCUMENT NUMBER</w:t>
            </w:r>
          </w:p>
          <w:p>
            <w:pPr>
              <w:spacing w:before="20" w:after="0"/>
            </w:pPr>
            <w:r>
              <w:rPr>
                <w:rFonts w:ascii="Calibri" w:hAnsi="Calibri"/>
                <w:i/>
                <w:color w:val="5C6470"/>
                <w:sz w:val="22"/>
              </w:rPr>
              <w:t>Số tài liệu</w:t>
            </w:r>
          </w:p>
        </w:tc>
        <w:tc>
          <w:tcPr>
            <w:tcW w:w="6349" w:type="dxa"/>
            <w:tcBorders>
              <w:top w:val="nil"/>
              <w:left w:val="nil"/>
              <w:bottom w:val="nil"/>
              <w:right w:val="nil"/>
            </w:tcBorders>
            <w:shd w:val="clear" w:color="auto" w:fill="F7F9FC"/>
            <w:tcMar>
              <w:top w:w="100" w:type="dxa"/>
              <w:bottom w:w="100" w:type="dxa"/>
              <w:left w:w="120" w:type="dxa"/>
              <w:right w:w="220" w:type="dxa"/>
            </w:tcMar>
            <w:vAlign w:val="center"/>
          </w:tcPr>
          <w:p>
            <w:pPr>
              <w:spacing w:before="0" w:after="0"/>
            </w:pPr>
            <w:r>
              <w:rPr>
                <w:rFonts w:ascii="Calibri" w:hAnsi="Calibri"/>
                <w:color w:val="1F2937"/>
                <w:sz w:val="22"/>
              </w:rPr>
              <w:t>HML-SOP-IT-011</w:t>
            </w:r>
          </w:p>
        </w:tc>
      </w:tr>
      <w:tr>
        <w:trPr>
          <w:trHeight w:val="500"/>
        </w:trPr>
        <w:tc>
          <w:tcPr>
            <w:tcW w:w="3000" w:type="dxa"/>
            <w:tcBorders>
              <w:top w:val="nil"/>
              <w:left w:val="nil"/>
              <w:bottom w:val="nil"/>
              <w:right w:val="nil"/>
            </w:tcBorders>
            <w:shd w:val="clear" w:color="auto" w:fill="F7F9FC"/>
            <w:tcMar>
              <w:top w:w="100" w:type="dxa"/>
              <w:bottom w:w="100" w:type="dxa"/>
              <w:left w:w="220" w:type="dxa"/>
              <w:right w:w="120" w:type="dxa"/>
            </w:tcMar>
            <w:vAlign w:val="center"/>
          </w:tcPr>
          <w:p>
            <w:pPr>
              <w:spacing w:before="0" w:after="0"/>
            </w:pPr>
            <w:r>
              <w:rPr>
                <w:rFonts w:ascii="Calibri" w:hAnsi="Calibri"/>
                <w:b/>
                <w:color w:val="008548"/>
                <w:sz w:val="22"/>
              </w:rPr>
              <w:t xml:space="preserve">ISSUE DATE</w:t>
            </w:r>
          </w:p>
          <w:p>
            <w:pPr>
              <w:spacing w:before="20" w:after="0"/>
            </w:pPr>
            <w:r>
              <w:rPr>
                <w:rFonts w:ascii="Calibri" w:hAnsi="Calibri"/>
                <w:i/>
                <w:color w:val="5C6470"/>
                <w:sz w:val="22"/>
              </w:rPr>
              <w:t>Ngày phát hành</w:t>
            </w:r>
          </w:p>
        </w:tc>
        <w:tc>
          <w:tcPr>
            <w:tcW w:w="6349" w:type="dxa"/>
            <w:tcBorders>
              <w:top w:val="nil"/>
              <w:left w:val="nil"/>
              <w:bottom w:val="nil"/>
              <w:right w:val="nil"/>
            </w:tcBorders>
            <w:shd w:val="clear" w:color="auto" w:fill="F7F9FC"/>
            <w:tcMar>
              <w:top w:w="100" w:type="dxa"/>
              <w:bottom w:w="100" w:type="dxa"/>
              <w:left w:w="120" w:type="dxa"/>
              <w:right w:w="220" w:type="dxa"/>
            </w:tcMar>
            <w:vAlign w:val="center"/>
          </w:tcPr>
          <w:p>
            <w:pPr>
              <w:spacing w:before="0" w:after="0"/>
            </w:pPr>
            <w:r>
              <w:rPr>
                <w:rFonts w:ascii="Calibri" w:hAnsi="Calibri"/>
                <w:color w:val="1F2937"/>
                <w:sz w:val="22"/>
              </w:rPr>
              <w:t>04 July 2026</w:t>
            </w:r>
          </w:p>
        </w:tc>
      </w:tr>
      <w:tr>
        <w:trPr>
          <w:trHeight w:val="500"/>
        </w:trPr>
        <w:tc>
          <w:tcPr>
            <w:tcW w:w="3000" w:type="dxa"/>
            <w:tcBorders>
              <w:top w:val="nil"/>
              <w:left w:val="nil"/>
              <w:bottom w:val="nil"/>
              <w:right w:val="nil"/>
            </w:tcBorders>
            <w:shd w:val="clear" w:color="auto" w:fill="F7F9FC"/>
            <w:tcMar>
              <w:top w:w="100" w:type="dxa"/>
              <w:bottom w:w="100" w:type="dxa"/>
              <w:left w:w="220" w:type="dxa"/>
              <w:right w:w="120" w:type="dxa"/>
            </w:tcMar>
            <w:vAlign w:val="center"/>
          </w:tcPr>
          <w:p>
            <w:pPr>
              <w:spacing w:before="0" w:after="0"/>
            </w:pPr>
            <w:r>
              <w:rPr>
                <w:rFonts w:ascii="Calibri" w:hAnsi="Calibri"/>
                <w:b/>
                <w:color w:val="008548"/>
                <w:sz w:val="22"/>
              </w:rPr>
              <w:t xml:space="preserve">OWNER</w:t>
            </w:r>
          </w:p>
          <w:p>
            <w:pPr>
              <w:spacing w:before="20" w:after="0"/>
            </w:pPr>
            <w:r>
              <w:rPr>
                <w:rFonts w:ascii="Calibri" w:hAnsi="Calibri"/>
                <w:i/>
                <w:color w:val="5C6470"/>
                <w:sz w:val="22"/>
              </w:rPr>
              <w:t>Bộ phận / Tác giả</w:t>
            </w:r>
          </w:p>
        </w:tc>
        <w:tc>
          <w:tcPr>
            <w:tcW w:w="6349" w:type="dxa"/>
            <w:tcBorders>
              <w:top w:val="nil"/>
              <w:left w:val="nil"/>
              <w:bottom w:val="nil"/>
              <w:right w:val="nil"/>
            </w:tcBorders>
            <w:shd w:val="clear" w:color="auto" w:fill="F7F9FC"/>
            <w:tcMar>
              <w:top w:w="100" w:type="dxa"/>
              <w:bottom w:w="100" w:type="dxa"/>
              <w:left w:w="120" w:type="dxa"/>
              <w:right w:w="220" w:type="dxa"/>
            </w:tcMar>
            <w:vAlign w:val="center"/>
          </w:tcPr>
          <w:p>
            <w:pPr>
              <w:spacing w:before="0" w:after="0"/>
            </w:pPr>
            <w:r>
              <w:rPr>
                <w:rFonts w:ascii="Calibri" w:hAnsi="Calibri"/>
                <w:color w:val="1F2937"/>
                <w:sz w:val="22"/>
              </w:rPr>
              <w:t>Quality Assurance / IT</w:t>
            </w:r>
          </w:p>
        </w:tc>
      </w:tr>
      <w:tr>
        <w:trPr>
          <w:trHeight w:val="500"/>
        </w:trPr>
        <w:tc>
          <w:tcPr>
            <w:tcW w:w="3000" w:type="dxa"/>
            <w:tcBorders>
              <w:top w:val="nil"/>
              <w:left w:val="nil"/>
              <w:bottom w:val="nil"/>
              <w:right w:val="nil"/>
            </w:tcBorders>
            <w:shd w:val="clear" w:color="auto" w:fill="F7F9FC"/>
            <w:tcMar>
              <w:top w:w="100" w:type="dxa"/>
              <w:bottom w:w="100" w:type="dxa"/>
              <w:left w:w="220" w:type="dxa"/>
              <w:right w:w="120" w:type="dxa"/>
            </w:tcMar>
            <w:vAlign w:val="center"/>
          </w:tcPr>
          <w:p>
            <w:pPr>
              <w:spacing w:before="0" w:after="0"/>
            </w:pPr>
            <w:r>
              <w:rPr>
                <w:rFonts w:ascii="Calibri" w:hAnsi="Calibri"/>
                <w:b/>
                <w:color w:val="008548"/>
                <w:sz w:val="22"/>
              </w:rPr>
              <w:t xml:space="preserve">APPROVAL</w:t>
            </w:r>
          </w:p>
          <w:p>
            <w:pPr>
              <w:spacing w:before="20" w:after="0"/>
            </w:pPr>
            <w:r>
              <w:rPr>
                <w:rFonts w:ascii="Calibri" w:hAnsi="Calibri"/>
                <w:i/>
                <w:color w:val="5C6470"/>
                <w:sz w:val="22"/>
              </w:rPr>
              <w:t>Phê duyệt</w:t>
            </w:r>
          </w:p>
        </w:tc>
        <w:tc>
          <w:tcPr>
            <w:tcW w:w="6349" w:type="dxa"/>
            <w:tcBorders>
              <w:top w:val="nil"/>
              <w:left w:val="nil"/>
              <w:bottom w:val="nil"/>
              <w:right w:val="nil"/>
            </w:tcBorders>
            <w:shd w:val="clear" w:color="auto" w:fill="F7F9FC"/>
            <w:tcMar>
              <w:top w:w="100" w:type="dxa"/>
              <w:bottom w:w="100" w:type="dxa"/>
              <w:left w:w="120" w:type="dxa"/>
              <w:right w:w="220" w:type="dxa"/>
            </w:tcMar>
            <w:vAlign w:val="center"/>
          </w:tcPr>
          <w:p>
            <w:pPr>
              <w:spacing w:before="0" w:after="0"/>
            </w:pPr>
            <w:r>
              <w:rPr>
                <w:rFonts w:ascii="Calibri" w:hAnsi="Calibri"/>
                <w:color w:val="1F2937"/>
                <w:sz w:val="22"/>
              </w:rPr>
              <w:t>Managing Director</w:t>
            </w:r>
          </w:p>
        </w:tc>
      </w:tr>
      <w:tr>
        <w:trPr>
          <w:trHeight w:val="500"/>
        </w:trPr>
        <w:tc>
          <w:tcPr>
            <w:tcW w:w="3000" w:type="dxa"/>
            <w:tcBorders>
              <w:top w:val="nil"/>
              <w:left w:val="nil"/>
              <w:bottom w:val="nil"/>
              <w:right w:val="nil"/>
            </w:tcBorders>
            <w:shd w:val="clear" w:color="auto" w:fill="F7F9FC"/>
            <w:tcMar>
              <w:top w:w="100" w:type="dxa"/>
              <w:bottom w:w="100" w:type="dxa"/>
              <w:left w:w="220" w:type="dxa"/>
              <w:right w:w="120" w:type="dxa"/>
            </w:tcMar>
            <w:vAlign w:val="center"/>
          </w:tcPr>
          <w:p>
            <w:pPr>
              <w:spacing w:before="0" w:after="0"/>
            </w:pPr>
            <w:r>
              <w:rPr>
                <w:rFonts w:ascii="Calibri" w:hAnsi="Calibri"/>
                <w:b/>
                <w:color w:val="008548"/>
                <w:sz w:val="22"/>
              </w:rPr>
              <w:t xml:space="preserve">DISTRIBUTION</w:t>
            </w:r>
          </w:p>
          <w:p>
            <w:pPr>
              <w:spacing w:before="20" w:after="0"/>
            </w:pPr>
            <w:r>
              <w:rPr>
                <w:rFonts w:ascii="Calibri" w:hAnsi="Calibri"/>
                <w:i/>
                <w:color w:val="5C6470"/>
                <w:sz w:val="22"/>
              </w:rPr>
              <w:t>Phân phối</w:t>
            </w:r>
          </w:p>
        </w:tc>
        <w:tc>
          <w:tcPr>
            <w:tcW w:w="6349" w:type="dxa"/>
            <w:tcBorders>
              <w:top w:val="nil"/>
              <w:left w:val="nil"/>
              <w:bottom w:val="nil"/>
              <w:right w:val="nil"/>
            </w:tcBorders>
            <w:shd w:val="clear" w:color="auto" w:fill="F7F9FC"/>
            <w:tcMar>
              <w:top w:w="100" w:type="dxa"/>
              <w:bottom w:w="100" w:type="dxa"/>
              <w:left w:w="120" w:type="dxa"/>
              <w:right w:w="220" w:type="dxa"/>
            </w:tcMar>
            <w:vAlign w:val="center"/>
          </w:tcPr>
          <w:p>
            <w:pPr>
              <w:spacing w:before="0" w:after="0"/>
            </w:pPr>
            <w:r>
              <w:rPr>
                <w:rFonts w:ascii="Calibri" w:hAnsi="Calibri"/>
                <w:color w:val="1F2937"/>
                <w:sz w:val="22"/>
              </w:rPr>
              <w:t>All portal users</w:t>
            </w:r>
          </w:p>
        </w:tc>
      </w:tr>
      <w:tr>
        <w:trPr>
          <w:trHeight w:val="500"/>
        </w:trPr>
        <w:tc>
          <w:tcPr>
            <w:tcW w:w="3000" w:type="dxa"/>
            <w:tcBorders>
              <w:top w:val="nil"/>
              <w:left w:val="nil"/>
              <w:bottom w:val="nil"/>
              <w:right w:val="nil"/>
            </w:tcBorders>
            <w:shd w:val="clear" w:color="auto" w:fill="F7F9FC"/>
            <w:tcMar>
              <w:top w:w="100" w:type="dxa"/>
              <w:bottom w:w="100" w:type="dxa"/>
              <w:left w:w="220" w:type="dxa"/>
              <w:right w:w="120" w:type="dxa"/>
            </w:tcMar>
            <w:vAlign w:val="center"/>
          </w:tcPr>
          <w:p>
            <w:pPr>
              <w:spacing w:before="0" w:after="0"/>
            </w:pPr>
            <w:r>
              <w:rPr>
                <w:rFonts w:ascii="Calibri" w:hAnsi="Calibri"/>
                <w:b/>
                <w:color w:val="008548"/>
                <w:sz w:val="22"/>
              </w:rPr>
              <w:t xml:space="preserve">CONFIDENTIALITY</w:t>
            </w:r>
          </w:p>
          <w:p>
            <w:pPr>
              <w:spacing w:before="20" w:after="0"/>
            </w:pPr>
            <w:r>
              <w:rPr>
                <w:rFonts w:ascii="Calibri" w:hAnsi="Calibri"/>
                <w:i/>
                <w:color w:val="5C6470"/>
                <w:sz w:val="22"/>
              </w:rPr>
              <w:t>Tính bảo mật</w:t>
            </w:r>
          </w:p>
        </w:tc>
        <w:tc>
          <w:tcPr>
            <w:tcW w:w="6349" w:type="dxa"/>
            <w:tcBorders>
              <w:top w:val="nil"/>
              <w:left w:val="nil"/>
              <w:bottom w:val="nil"/>
              <w:right w:val="nil"/>
            </w:tcBorders>
            <w:shd w:val="clear" w:color="auto" w:fill="F7F9FC"/>
            <w:tcMar>
              <w:top w:w="100" w:type="dxa"/>
              <w:bottom w:w="100" w:type="dxa"/>
              <w:left w:w="120" w:type="dxa"/>
              <w:right w:w="220" w:type="dxa"/>
            </w:tcMar>
            <w:vAlign w:val="center"/>
          </w:tcPr>
          <w:p>
            <w:pPr>
              <w:spacing w:before="0" w:after="0"/>
            </w:pPr>
            <w:r>
              <w:rPr>
                <w:rFonts w:ascii="Calibri" w:hAnsi="Calibri"/>
                <w:color w:val="1F2937"/>
                <w:sz w:val="22"/>
              </w:rPr>
              <w:t>Internal</w:t>
            </w:r>
          </w:p>
        </w:tc>
      </w:tr>
    </w:tbl>
    <w:p>
      <w:r>
        <w:br w:type="page"/>
      </w:r>
    </w:p>
    <w:p>
      <w:pPr>
        <w:spacing w:before="240" w:after="0"/>
      </w:pPr>
    </w:p>
    <w:tbl>
      <w:tblPr>
        <w:tblW w:w="9349" w:type="dxa"/>
        <w:tblBorders>
          <w:top w:val="nil"/>
          <w:left w:val="nil"/>
          <w:bottom w:val="nil"/>
          <w:right w:val="nil"/>
          <w:insideH w:val="nil"/>
          <w:insideV w:val="nil"/>
        </w:tblBorders>
        <w:tblLayout w:type="fixed"/>
      </w:tblPr>
      <w:tblGrid>
        <w:gridCol w:w="1500"/>
        <w:gridCol w:w="7849"/>
      </w:tblGrid>
      <w:tr>
        <w:trPr>
          <w:trHeight w:val="1100"/>
        </w:trPr>
        <w:tc>
          <w:tcPr>
            <w:tcW w:w="1500" w:type="dxa"/>
            <w:vAlign w:val="center"/>
            <w:tcBorders>
              <w:top w:val="nil"/>
              <w:left w:val="nil"/>
              <w:bottom w:val="nil"/>
              <w:right w:val="nil"/>
            </w:tcBorders>
          </w:tcPr>
          <w:p>
            <w:pPr>
              <w:spacing w:before="0" w:after="0"/>
            </w:pPr>
            <w:r>
              <w:rPr>
                <w:rFonts w:ascii="Calibri" w:hAnsi="Calibri"/>
                <w:b/>
                <w:color w:val="B5C8E5"/>
                <w:sz w:val="96"/>
              </w:rPr>
              <w:t>01</w:t>
            </w:r>
          </w:p>
        </w:tc>
        <w:tc>
          <w:tcPr>
            <w:tcW w:w="7849" w:type="dxa"/>
            <w:vAlign w:val="center"/>
            <w:tcBorders>
              <w:top w:val="nil"/>
              <w:left w:val="nil"/>
              <w:bottom w:val="nil"/>
              <w:right w:val="nil"/>
            </w:tcBorders>
          </w:tcPr>
          <w:p>
            <w:pPr>
              <w:spacing w:before="240" w:after="0"/>
            </w:pPr>
            <w:r>
              <w:rPr>
                <w:rFonts w:ascii="Calibri" w:hAnsi="Calibri"/>
                <w:b/>
                <w:color w:val="205090"/>
                <w:sz w:val="44"/>
              </w:rPr>
              <w:t>Document Information</w:t>
            </w:r>
          </w:p>
          <w:p>
            <w:pPr>
              <w:spacing w:before="0" w:after="0"/>
            </w:pPr>
            <w:r>
              <w:rPr>
                <w:rFonts w:ascii="Calibri" w:hAnsi="Calibri"/>
                <w:i/>
                <w:color w:val="5C6470"/>
                <w:sz w:val="20"/>
              </w:rPr>
              <w:t>Thông tin tài liệu</w:t>
            </w:r>
          </w:p>
        </w:tc>
      </w:tr>
    </w:tbl>
    <w:p>
      <w:pPr>
        <w:pBdr>
          <w:bottom w:val="single" w:sz="18" w:space="1" w:color="00B060"/>
        </w:pBdr>
        <w:tabs>
          <w:tab w:val="left" w:pos="2268"/>
        </w:tabs>
        <w:spacing w:before="60" w:after="360"/>
      </w:pPr>
      <w:r>
        <w:rPr>
          <w:sz w:val="8"/>
        </w:rPr>
        <w:tab/>
      </w:r>
    </w:p>
    <w:p>
      <w:pPr>
        <w:pBdr>
          <w:bottom w:val="single" w:sz="8" w:space="4" w:color="00B060"/>
        </w:pBdr>
        <w:spacing w:before="120" w:after="60"/>
      </w:pPr>
      <w:r>
        <w:rPr>
          <w:rFonts w:ascii="Calibri" w:hAnsi="Calibri"/>
          <w:b/>
          <w:color w:val="205090"/>
          <w:sz w:val="18"/>
          <w:spacing w:val="20"/>
        </w:rPr>
        <w:t>DOCUMENT INFORMATION · THÔNG TIN TÀI LIỆU</w:t>
      </w:r>
    </w:p>
    <w:tbl>
      <w:tblPr>
        <w:tblW w:w="9349" w:type="dxa"/>
        <w:tblBorders>
          <w:top w:val="nil"/>
          <w:left w:val="nil"/>
          <w:bottom w:val="nil"/>
          <w:right w:val="nil"/>
          <w:insideH w:val="nil"/>
          <w:insideV w:val="nil"/>
        </w:tblBorders>
        <w:tblLayout w:type="fixed"/>
      </w:tblPr>
      <w:tblGrid>
        <w:gridCol w:w="3200"/>
        <w:gridCol w:w="6149"/>
      </w:tblGrid>
      <w:tr>
        <w:trPr>
          <w:trHeight w:val="600"/>
        </w:trPr>
        <w:tc>
          <w:tcPr>
            <w:tcW w:w="3200" w:type="dxa"/>
            <w:tcBorders>
              <w:top w:val="single" w:sz="2" w:color="FFFFFF"/>
              <w:bottom w:val="single" w:sz="2" w:color="FFFFFF"/>
              <w:left w:val="nil"/>
              <w:right w:val="nil"/>
            </w:tcBorders>
            <w:shd w:val="clear" w:color="auto" w:fill="F7F9FC"/>
            <w:tcMar>
              <w:top w:w="120" w:type="dxa"/>
              <w:bottom w:w="120" w:type="dxa"/>
              <w:left w:w="180" w:type="dxa"/>
              <w:right w:w="180" w:type="dxa"/>
            </w:tcMar>
          </w:tcPr>
          <w:p>
            <w:pPr>
              <w:spacing w:before="0" w:after="20"/>
            </w:pPr>
            <w:r>
              <w:rPr>
                <w:rFonts w:ascii="Calibri" w:hAnsi="Calibri"/>
                <w:b/>
                <w:color w:val="205090"/>
                <w:sz w:val="22"/>
              </w:rPr>
              <w:t>Document title</w:t>
            </w:r>
          </w:p>
          <w:p>
            <w:pPr>
              <w:spacing w:before="0" w:after="0"/>
            </w:pPr>
            <w:r>
              <w:rPr>
                <w:rFonts w:ascii="Calibri" w:hAnsi="Calibri"/>
                <w:i/>
                <w:color w:val="5C6470"/>
                <w:sz w:val="22"/>
              </w:rPr>
              <w:t>Tên tài liệu</w:t>
            </w:r>
          </w:p>
        </w:tc>
        <w:tc>
          <w:tcPr>
            <w:tcW w:w="6149" w:type="dxa"/>
            <w:tcBorders>
              <w:top w:val="single" w:sz="2" w:color="FFFFFF"/>
              <w:bottom w:val="single" w:sz="2" w:color="FFFFFF"/>
              <w:left w:val="nil"/>
              <w:right w:val="nil"/>
            </w:tcBorders>
            <w:shd w:val="clear" w:color="auto" w:fill="F7F9FC"/>
            <w:tcMar>
              <w:top w:w="120" w:type="dxa"/>
              <w:bottom w:w="120" w:type="dxa"/>
              <w:left w:w="180" w:type="dxa"/>
              <w:right w:w="180" w:type="dxa"/>
            </w:tcMar>
            <w:vAlign w:val="center"/>
          </w:tcPr>
          <w:p>
            <w:pPr>
              <w:spacing w:before="0" w:after="0"/>
            </w:pPr>
            <w:r>
              <w:rPr>
                <w:rFonts w:ascii="Calibri" w:hAnsi="Calibri"/>
                <w:color w:val="1F2937"/>
                <w:sz w:val="22"/>
              </w:rPr>
              <w:t>Electronic Records &amp; Electronic Signatures (21 CFR Part 11)</w:t>
            </w:r>
          </w:p>
        </w:tc>
      </w:tr>
      <w:tr>
        <w:trPr>
          <w:trHeight w:val="600"/>
        </w:trPr>
        <w:tc>
          <w:tcPr>
            <w:tcW w:w="3200" w:type="dxa"/>
            <w:tcBorders>
              <w:top w:val="single" w:sz="2" w:color="FFFFFF"/>
              <w:bottom w:val="single" w:sz="2" w:color="FFFFFF"/>
              <w:left w:val="nil"/>
              <w:right w:val="nil"/>
            </w:tcBorders>
            <w:shd w:val="clear" w:color="auto" w:fill="F7F9FC"/>
            <w:tcMar>
              <w:top w:w="120" w:type="dxa"/>
              <w:bottom w:w="120" w:type="dxa"/>
              <w:left w:w="180" w:type="dxa"/>
              <w:right w:w="180" w:type="dxa"/>
            </w:tcMar>
          </w:tcPr>
          <w:p>
            <w:pPr>
              <w:spacing w:before="0" w:after="20"/>
            </w:pPr>
            <w:r>
              <w:rPr>
                <w:rFonts w:ascii="Calibri" w:hAnsi="Calibri"/>
                <w:b/>
                <w:color w:val="205090"/>
                <w:sz w:val="22"/>
              </w:rPr>
              <w:t>Document number</w:t>
            </w:r>
          </w:p>
          <w:p>
            <w:pPr>
              <w:spacing w:before="0" w:after="0"/>
            </w:pPr>
            <w:r>
              <w:rPr>
                <w:rFonts w:ascii="Calibri" w:hAnsi="Calibri"/>
                <w:i/>
                <w:color w:val="5C6470"/>
                <w:sz w:val="22"/>
              </w:rPr>
              <w:t>Số tài liệu</w:t>
            </w:r>
          </w:p>
        </w:tc>
        <w:tc>
          <w:tcPr>
            <w:tcW w:w="6149" w:type="dxa"/>
            <w:tcBorders>
              <w:top w:val="single" w:sz="2" w:color="FFFFFF"/>
              <w:bottom w:val="single" w:sz="2" w:color="FFFFFF"/>
              <w:left w:val="nil"/>
              <w:right w:val="nil"/>
            </w:tcBorders>
            <w:shd w:val="clear" w:color="auto" w:fill="F7F9FC"/>
            <w:tcMar>
              <w:top w:w="120" w:type="dxa"/>
              <w:bottom w:w="120" w:type="dxa"/>
              <w:left w:w="180" w:type="dxa"/>
              <w:right w:w="180" w:type="dxa"/>
            </w:tcMar>
            <w:vAlign w:val="center"/>
          </w:tcPr>
          <w:p>
            <w:pPr>
              <w:spacing w:before="0" w:after="0"/>
            </w:pPr>
            <w:r>
              <w:rPr>
                <w:rFonts w:ascii="Calibri" w:hAnsi="Calibri"/>
                <w:color w:val="1F2937"/>
                <w:sz w:val="22"/>
              </w:rPr>
              <w:t>HML-SOP-IT-011</w:t>
            </w:r>
          </w:p>
        </w:tc>
      </w:tr>
      <w:tr>
        <w:trPr>
          <w:trHeight w:val="600"/>
        </w:trPr>
        <w:tc>
          <w:tcPr>
            <w:tcW w:w="3200" w:type="dxa"/>
            <w:tcBorders>
              <w:top w:val="single" w:sz="2" w:color="FFFFFF"/>
              <w:bottom w:val="single" w:sz="2" w:color="FFFFFF"/>
              <w:left w:val="nil"/>
              <w:right w:val="nil"/>
            </w:tcBorders>
            <w:shd w:val="clear" w:color="auto" w:fill="F7F9FC"/>
            <w:tcMar>
              <w:top w:w="120" w:type="dxa"/>
              <w:bottom w:w="120" w:type="dxa"/>
              <w:left w:w="180" w:type="dxa"/>
              <w:right w:w="180" w:type="dxa"/>
            </w:tcMar>
          </w:tcPr>
          <w:p>
            <w:pPr>
              <w:spacing w:before="0" w:after="20"/>
            </w:pPr>
            <w:r>
              <w:rPr>
                <w:rFonts w:ascii="Calibri" w:hAnsi="Calibri"/>
                <w:b/>
                <w:color w:val="205090"/>
                <w:sz w:val="22"/>
              </w:rPr>
              <w:t>Revision</w:t>
            </w:r>
          </w:p>
          <w:p>
            <w:pPr>
              <w:spacing w:before="0" w:after="0"/>
            </w:pPr>
            <w:r>
              <w:rPr>
                <w:rFonts w:ascii="Calibri" w:hAnsi="Calibri"/>
                <w:i/>
                <w:color w:val="5C6470"/>
                <w:sz w:val="22"/>
              </w:rPr>
              <w:t>Phiên bản</w:t>
            </w:r>
          </w:p>
        </w:tc>
        <w:tc>
          <w:tcPr>
            <w:tcW w:w="6149" w:type="dxa"/>
            <w:tcBorders>
              <w:top w:val="single" w:sz="2" w:color="FFFFFF"/>
              <w:bottom w:val="single" w:sz="2" w:color="FFFFFF"/>
              <w:left w:val="nil"/>
              <w:right w:val="nil"/>
            </w:tcBorders>
            <w:shd w:val="clear" w:color="auto" w:fill="F7F9FC"/>
            <w:tcMar>
              <w:top w:w="120" w:type="dxa"/>
              <w:bottom w:w="120" w:type="dxa"/>
              <w:left w:w="180" w:type="dxa"/>
              <w:right w:w="180" w:type="dxa"/>
            </w:tcMar>
            <w:vAlign w:val="center"/>
          </w:tcPr>
          <w:p>
            <w:pPr>
              <w:spacing w:before="0" w:after="0"/>
            </w:pPr>
            <w:r>
              <w:rPr>
                <w:rFonts w:ascii="Calibri" w:hAnsi="Calibri"/>
                <w:color w:val="1F2937"/>
                <w:sz w:val="22"/>
              </w:rPr>
              <w:t>01.0 (initial release)</w:t>
            </w:r>
          </w:p>
        </w:tc>
      </w:tr>
      <w:tr>
        <w:trPr>
          <w:trHeight w:val="600"/>
        </w:trPr>
        <w:tc>
          <w:tcPr>
            <w:tcW w:w="3200" w:type="dxa"/>
            <w:tcBorders>
              <w:top w:val="single" w:sz="2" w:color="FFFFFF"/>
              <w:bottom w:val="single" w:sz="2" w:color="FFFFFF"/>
              <w:left w:val="nil"/>
              <w:right w:val="nil"/>
            </w:tcBorders>
            <w:shd w:val="clear" w:color="auto" w:fill="F7F9FC"/>
            <w:tcMar>
              <w:top w:w="120" w:type="dxa"/>
              <w:bottom w:w="120" w:type="dxa"/>
              <w:left w:w="180" w:type="dxa"/>
              <w:right w:w="180" w:type="dxa"/>
            </w:tcMar>
          </w:tcPr>
          <w:p>
            <w:pPr>
              <w:spacing w:before="0" w:after="20"/>
            </w:pPr>
            <w:r>
              <w:rPr>
                <w:rFonts w:ascii="Calibri" w:hAnsi="Calibri"/>
                <w:b/>
                <w:color w:val="205090"/>
                <w:sz w:val="22"/>
              </w:rPr>
              <w:t>Issue date</w:t>
            </w:r>
          </w:p>
          <w:p>
            <w:pPr>
              <w:spacing w:before="0" w:after="0"/>
            </w:pPr>
            <w:r>
              <w:rPr>
                <w:rFonts w:ascii="Calibri" w:hAnsi="Calibri"/>
                <w:i/>
                <w:color w:val="5C6470"/>
                <w:sz w:val="22"/>
              </w:rPr>
              <w:t>Ngày phát hành</w:t>
            </w:r>
          </w:p>
        </w:tc>
        <w:tc>
          <w:tcPr>
            <w:tcW w:w="6149" w:type="dxa"/>
            <w:tcBorders>
              <w:top w:val="single" w:sz="2" w:color="FFFFFF"/>
              <w:bottom w:val="single" w:sz="2" w:color="FFFFFF"/>
              <w:left w:val="nil"/>
              <w:right w:val="nil"/>
            </w:tcBorders>
            <w:shd w:val="clear" w:color="auto" w:fill="F7F9FC"/>
            <w:tcMar>
              <w:top w:w="120" w:type="dxa"/>
              <w:bottom w:w="120" w:type="dxa"/>
              <w:left w:w="180" w:type="dxa"/>
              <w:right w:w="180" w:type="dxa"/>
            </w:tcMar>
            <w:vAlign w:val="center"/>
          </w:tcPr>
          <w:p>
            <w:pPr>
              <w:spacing w:before="0" w:after="0"/>
            </w:pPr>
            <w:r>
              <w:rPr>
                <w:rFonts w:ascii="Calibri" w:hAnsi="Calibri"/>
                <w:color w:val="1F2937"/>
                <w:sz w:val="22"/>
              </w:rPr>
              <w:t>04 July 2026</w:t>
            </w:r>
          </w:p>
        </w:tc>
      </w:tr>
      <w:tr>
        <w:trPr>
          <w:trHeight w:val="600"/>
        </w:trPr>
        <w:tc>
          <w:tcPr>
            <w:tcW w:w="3200" w:type="dxa"/>
            <w:tcBorders>
              <w:top w:val="single" w:sz="2" w:color="FFFFFF"/>
              <w:bottom w:val="single" w:sz="2" w:color="FFFFFF"/>
              <w:left w:val="nil"/>
              <w:right w:val="nil"/>
            </w:tcBorders>
            <w:shd w:val="clear" w:color="auto" w:fill="F7F9FC"/>
            <w:tcMar>
              <w:top w:w="120" w:type="dxa"/>
              <w:bottom w:w="120" w:type="dxa"/>
              <w:left w:w="180" w:type="dxa"/>
              <w:right w:w="180" w:type="dxa"/>
            </w:tcMar>
          </w:tcPr>
          <w:p>
            <w:pPr>
              <w:spacing w:before="0" w:after="20"/>
            </w:pPr>
            <w:r>
              <w:rPr>
                <w:rFonts w:ascii="Calibri" w:hAnsi="Calibri"/>
                <w:b/>
                <w:color w:val="205090"/>
                <w:sz w:val="22"/>
              </w:rPr>
              <w:t>Owner</w:t>
            </w:r>
          </w:p>
          <w:p>
            <w:pPr>
              <w:spacing w:before="0" w:after="0"/>
            </w:pPr>
            <w:r>
              <w:rPr>
                <w:rFonts w:ascii="Calibri" w:hAnsi="Calibri"/>
                <w:i/>
                <w:color w:val="5C6470"/>
                <w:sz w:val="22"/>
              </w:rPr>
              <w:t>Bộ phận / Tác giả</w:t>
            </w:r>
          </w:p>
        </w:tc>
        <w:tc>
          <w:tcPr>
            <w:tcW w:w="6149" w:type="dxa"/>
            <w:tcBorders>
              <w:top w:val="single" w:sz="2" w:color="FFFFFF"/>
              <w:bottom w:val="single" w:sz="2" w:color="FFFFFF"/>
              <w:left w:val="nil"/>
              <w:right w:val="nil"/>
            </w:tcBorders>
            <w:shd w:val="clear" w:color="auto" w:fill="F7F9FC"/>
            <w:tcMar>
              <w:top w:w="120" w:type="dxa"/>
              <w:bottom w:w="120" w:type="dxa"/>
              <w:left w:w="180" w:type="dxa"/>
              <w:right w:w="180" w:type="dxa"/>
            </w:tcMar>
            <w:vAlign w:val="center"/>
          </w:tcPr>
          <w:p>
            <w:pPr>
              <w:spacing w:before="0" w:after="0"/>
            </w:pPr>
            <w:r>
              <w:rPr>
                <w:rFonts w:ascii="Calibri" w:hAnsi="Calibri"/>
                <w:color w:val="1F2937"/>
                <w:sz w:val="22"/>
              </w:rPr>
              <w:t>Quality Assurance / IT</w:t>
            </w:r>
          </w:p>
        </w:tc>
      </w:tr>
      <w:tr>
        <w:trPr>
          <w:trHeight w:val="600"/>
        </w:trPr>
        <w:tc>
          <w:tcPr>
            <w:tcW w:w="3200" w:type="dxa"/>
            <w:tcBorders>
              <w:top w:val="single" w:sz="2" w:color="FFFFFF"/>
              <w:bottom w:val="single" w:sz="2" w:color="FFFFFF"/>
              <w:left w:val="nil"/>
              <w:right w:val="nil"/>
            </w:tcBorders>
            <w:shd w:val="clear" w:color="auto" w:fill="F7F9FC"/>
            <w:tcMar>
              <w:top w:w="120" w:type="dxa"/>
              <w:bottom w:w="120" w:type="dxa"/>
              <w:left w:w="180" w:type="dxa"/>
              <w:right w:w="180" w:type="dxa"/>
            </w:tcMar>
          </w:tcPr>
          <w:p>
            <w:pPr>
              <w:spacing w:before="0" w:after="20"/>
            </w:pPr>
            <w:r>
              <w:rPr>
                <w:rFonts w:ascii="Calibri" w:hAnsi="Calibri"/>
                <w:b/>
                <w:color w:val="205090"/>
                <w:sz w:val="22"/>
              </w:rPr>
              <w:t>Approval</w:t>
            </w:r>
          </w:p>
          <w:p>
            <w:pPr>
              <w:spacing w:before="0" w:after="0"/>
            </w:pPr>
            <w:r>
              <w:rPr>
                <w:rFonts w:ascii="Calibri" w:hAnsi="Calibri"/>
                <w:i/>
                <w:color w:val="5C6470"/>
                <w:sz w:val="22"/>
              </w:rPr>
              <w:t>Phê duyệt</w:t>
            </w:r>
          </w:p>
        </w:tc>
        <w:tc>
          <w:tcPr>
            <w:tcW w:w="6149" w:type="dxa"/>
            <w:tcBorders>
              <w:top w:val="single" w:sz="2" w:color="FFFFFF"/>
              <w:bottom w:val="single" w:sz="2" w:color="FFFFFF"/>
              <w:left w:val="nil"/>
              <w:right w:val="nil"/>
            </w:tcBorders>
            <w:shd w:val="clear" w:color="auto" w:fill="F7F9FC"/>
            <w:tcMar>
              <w:top w:w="120" w:type="dxa"/>
              <w:bottom w:w="120" w:type="dxa"/>
              <w:left w:w="180" w:type="dxa"/>
              <w:right w:w="180" w:type="dxa"/>
            </w:tcMar>
            <w:vAlign w:val="center"/>
          </w:tcPr>
          <w:p>
            <w:pPr>
              <w:spacing w:before="0" w:after="0"/>
            </w:pPr>
            <w:r>
              <w:rPr>
                <w:rFonts w:ascii="Calibri" w:hAnsi="Calibri"/>
                <w:color w:val="1F2937"/>
                <w:sz w:val="22"/>
              </w:rPr>
              <w:t>Managing Director</w:t>
            </w:r>
          </w:p>
        </w:tc>
      </w:tr>
      <w:tr>
        <w:trPr>
          <w:trHeight w:val="600"/>
        </w:trPr>
        <w:tc>
          <w:tcPr>
            <w:tcW w:w="3200" w:type="dxa"/>
            <w:tcBorders>
              <w:top w:val="single" w:sz="2" w:color="FFFFFF"/>
              <w:bottom w:val="single" w:sz="2" w:color="FFFFFF"/>
              <w:left w:val="nil"/>
              <w:right w:val="nil"/>
            </w:tcBorders>
            <w:shd w:val="clear" w:color="auto" w:fill="F7F9FC"/>
            <w:tcMar>
              <w:top w:w="120" w:type="dxa"/>
              <w:bottom w:w="120" w:type="dxa"/>
              <w:left w:w="180" w:type="dxa"/>
              <w:right w:w="180" w:type="dxa"/>
            </w:tcMar>
          </w:tcPr>
          <w:p>
            <w:pPr>
              <w:spacing w:before="0" w:after="20"/>
            </w:pPr>
            <w:r>
              <w:rPr>
                <w:rFonts w:ascii="Calibri" w:hAnsi="Calibri"/>
                <w:b/>
                <w:color w:val="205090"/>
                <w:sz w:val="22"/>
              </w:rPr>
              <w:t>Distribution</w:t>
            </w:r>
          </w:p>
          <w:p>
            <w:pPr>
              <w:spacing w:before="0" w:after="0"/>
            </w:pPr>
            <w:r>
              <w:rPr>
                <w:rFonts w:ascii="Calibri" w:hAnsi="Calibri"/>
                <w:i/>
                <w:color w:val="5C6470"/>
                <w:sz w:val="22"/>
              </w:rPr>
              <w:t>Phân phối</w:t>
            </w:r>
          </w:p>
        </w:tc>
        <w:tc>
          <w:tcPr>
            <w:tcW w:w="6149" w:type="dxa"/>
            <w:tcBorders>
              <w:top w:val="single" w:sz="2" w:color="FFFFFF"/>
              <w:bottom w:val="single" w:sz="2" w:color="FFFFFF"/>
              <w:left w:val="nil"/>
              <w:right w:val="nil"/>
            </w:tcBorders>
            <w:shd w:val="clear" w:color="auto" w:fill="F7F9FC"/>
            <w:tcMar>
              <w:top w:w="120" w:type="dxa"/>
              <w:bottom w:w="120" w:type="dxa"/>
              <w:left w:w="180" w:type="dxa"/>
              <w:right w:w="180" w:type="dxa"/>
            </w:tcMar>
            <w:vAlign w:val="center"/>
          </w:tcPr>
          <w:p>
            <w:pPr>
              <w:spacing w:before="0" w:after="0"/>
            </w:pPr>
            <w:r>
              <w:rPr>
                <w:rFonts w:ascii="Calibri" w:hAnsi="Calibri"/>
                <w:color w:val="1F2937"/>
                <w:sz w:val="22"/>
              </w:rPr>
              <w:t>All portal users</w:t>
            </w:r>
          </w:p>
        </w:tc>
      </w:tr>
      <w:tr>
        <w:trPr>
          <w:trHeight w:val="600"/>
        </w:trPr>
        <w:tc>
          <w:tcPr>
            <w:tcW w:w="3200" w:type="dxa"/>
            <w:tcBorders>
              <w:top w:val="single" w:sz="2" w:color="FFFFFF"/>
              <w:bottom w:val="single" w:sz="2" w:color="FFFFFF"/>
              <w:left w:val="nil"/>
              <w:right w:val="nil"/>
            </w:tcBorders>
            <w:shd w:val="clear" w:color="auto" w:fill="F7F9FC"/>
            <w:tcMar>
              <w:top w:w="120" w:type="dxa"/>
              <w:bottom w:w="120" w:type="dxa"/>
              <w:left w:w="180" w:type="dxa"/>
              <w:right w:w="180" w:type="dxa"/>
            </w:tcMar>
          </w:tcPr>
          <w:p>
            <w:pPr>
              <w:spacing w:before="0" w:after="20"/>
            </w:pPr>
            <w:r>
              <w:rPr>
                <w:rFonts w:ascii="Calibri" w:hAnsi="Calibri"/>
                <w:b/>
                <w:color w:val="205090"/>
                <w:sz w:val="22"/>
              </w:rPr>
              <w:t>Confidentiality</w:t>
            </w:r>
          </w:p>
          <w:p>
            <w:pPr>
              <w:spacing w:before="0" w:after="0"/>
            </w:pPr>
            <w:r>
              <w:rPr>
                <w:rFonts w:ascii="Calibri" w:hAnsi="Calibri"/>
                <w:i/>
                <w:color w:val="5C6470"/>
                <w:sz w:val="22"/>
              </w:rPr>
              <w:t>Tính bảo mật</w:t>
            </w:r>
          </w:p>
        </w:tc>
        <w:tc>
          <w:tcPr>
            <w:tcW w:w="6149" w:type="dxa"/>
            <w:tcBorders>
              <w:top w:val="single" w:sz="2" w:color="FFFFFF"/>
              <w:bottom w:val="single" w:sz="2" w:color="FFFFFF"/>
              <w:left w:val="nil"/>
              <w:right w:val="nil"/>
            </w:tcBorders>
            <w:shd w:val="clear" w:color="auto" w:fill="F7F9FC"/>
            <w:tcMar>
              <w:top w:w="120" w:type="dxa"/>
              <w:bottom w:w="120" w:type="dxa"/>
              <w:left w:w="180" w:type="dxa"/>
              <w:right w:w="180" w:type="dxa"/>
            </w:tcMar>
            <w:vAlign w:val="center"/>
          </w:tcPr>
          <w:p>
            <w:pPr>
              <w:spacing w:before="0" w:after="0"/>
            </w:pPr>
            <w:r>
              <w:rPr>
                <w:rFonts w:ascii="Calibri" w:hAnsi="Calibri"/>
                <w:color w:val="1F2937"/>
                <w:sz w:val="22"/>
              </w:rPr>
              <w:t>Internal</w:t>
            </w:r>
          </w:p>
        </w:tc>
      </w:tr>
    </w:tbl>
    <w:p>
      <w:pPr>
        <w:pBdr>
          <w:bottom w:val="single" w:sz="8" w:space="4" w:color="00B060"/>
        </w:pBdr>
        <w:spacing w:before="480" w:after="60"/>
      </w:pPr>
      <w:r>
        <w:rPr>
          <w:rFonts w:ascii="Calibri" w:hAnsi="Calibri"/>
          <w:b/>
          <w:color w:val="205090"/>
          <w:sz w:val="18"/>
          <w:spacing w:val="20"/>
        </w:rPr>
        <w:t>ABOUT THIS DOCUMENT · GIỚI THIỆU TÀI LIỆU</w:t>
      </w:r>
    </w:p>
    <w:p>
      <w:pPr>
        <w:spacing w:before="120" w:after="0" w:line="320" w:lineRule="auto"/>
        <w:jc w:val="both"/>
      </w:pPr>
      <w:r>
        <w:rPr>
          <w:rFonts w:ascii="Calibri" w:hAnsi="Calibri"/>
          <w:color w:val="1F2937"/>
          <w:sz w:val="22"/>
        </w:rPr>
        <w:t>This SOP defines how the Humiley People &amp; Workplace Portal creates, protects and signs electronic records, and how electronic signatures are applied, so that signed records are trustworthy, attributable and enforceable in line with US FDA 21 CFR Part 11. It is the controlling procedure for the portal’s e-signature and signature-PIN features.</w:t>
      </w:r>
    </w:p>
    <w:p>
      <w:pPr>
        <w:spacing w:before="60" w:after="0" w:line="320" w:lineRule="auto"/>
        <w:jc w:val="both"/>
      </w:pPr>
      <w:r>
        <w:rPr>
          <w:rFonts w:ascii="Calibri" w:hAnsi="Calibri"/>
          <w:i/>
          <w:color w:val="5C6470"/>
          <w:sz w:val="20"/>
        </w:rPr>
        <w:t>Quy trình này quy định cách Cổng Nhân sự &amp; Vận hành Humiley tạo lập, bảo vệ và ký các hồ sơ điện tử, và cách áp dụng chữ ký điện tử, nhằm bảo đảm hồ sơ đã ký là đáng tin cậy, truy nguyên được và có giá trị ràng buộc theo 21 CFR Part 11 của FDA Hoa Kỳ.</w:t>
      </w:r>
    </w:p>
    <w:p>
      <w:pPr>
        <w:spacing w:before="240" w:after="0"/>
      </w:pPr>
    </w:p>
    <w:tbl>
      <w:tblPr>
        <w:tblW w:w="9349" w:type="dxa"/>
        <w:tblBorders>
          <w:top w:val="nil"/>
          <w:left w:val="nil"/>
          <w:bottom w:val="nil"/>
          <w:right w:val="nil"/>
          <w:insideH w:val="nil"/>
          <w:insideV w:val="nil"/>
        </w:tblBorders>
        <w:tblLayout w:type="fixed"/>
      </w:tblPr>
      <w:tblGrid>
        <w:gridCol w:w="1500"/>
        <w:gridCol w:w="7849"/>
      </w:tblGrid>
      <w:tr>
        <w:trPr>
          <w:trHeight w:val="1100"/>
        </w:trPr>
        <w:tc>
          <w:tcPr>
            <w:tcW w:w="1500" w:type="dxa"/>
            <w:vAlign w:val="center"/>
            <w:tcBorders>
              <w:top w:val="nil"/>
              <w:left w:val="nil"/>
              <w:bottom w:val="nil"/>
              <w:right w:val="nil"/>
            </w:tcBorders>
          </w:tcPr>
          <w:p>
            <w:pPr>
              <w:spacing w:before="0" w:after="0"/>
            </w:pPr>
            <w:r>
              <w:rPr>
                <w:rFonts w:ascii="Calibri" w:hAnsi="Calibri"/>
                <w:b/>
                <w:color w:val="B5C8E5"/>
                <w:sz w:val="96"/>
              </w:rPr>
              <w:t xml:space="preserve">02</w:t>
            </w:r>
          </w:p>
        </w:tc>
        <w:tc>
          <w:tcPr>
            <w:tcW w:w="7849" w:type="dxa"/>
            <w:vAlign w:val="center"/>
            <w:tcBorders>
              <w:top w:val="nil"/>
              <w:left w:val="nil"/>
              <w:bottom w:val="nil"/>
              <w:right w:val="nil"/>
            </w:tcBorders>
          </w:tcPr>
          <w:p>
            <w:pPr>
              <w:spacing w:before="0" w:after="0"/>
            </w:pPr>
            <w:r>
              <w:rPr>
                <w:rFonts w:ascii="Calibri" w:hAnsi="Calibri"/>
                <w:b/>
                <w:color w:val="205090"/>
                <w:sz w:val="44"/>
              </w:rPr>
              <w:t xml:space="preserve">Purpose</w:t>
            </w:r>
          </w:p>
          <w:p>
            <w:pPr>
              <w:spacing w:before="0" w:after="0"/>
            </w:pPr>
            <w:r>
              <w:rPr>
                <w:rFonts w:ascii="Calibri" w:hAnsi="Calibri"/>
                <w:i/>
                <w:color w:val="5C6470"/>
                <w:sz w:val="20"/>
              </w:rPr>
              <w:t xml:space="preserve">Mục đích</w:t>
            </w:r>
          </w:p>
        </w:tc>
      </w:tr>
    </w:tbl>
    <w:p>
      <w:pPr>
        <w:pBdr>
          <w:bottom w:val="single" w:sz="18" w:space="1" w:color="00B060"/>
        </w:pBdr>
        <w:tabs>
          <w:tab w:val="left" w:pos="2268"/>
        </w:tabs>
        <w:spacing w:before="60" w:after="240"/>
      </w:pPr>
      <w:r>
        <w:rPr>
          <w:sz w:val="8"/>
        </w:rPr>
        <w:tab/>
      </w:r>
    </w:p>
    <w:p>
      <w:pPr>
        <w:spacing w:before="60" w:after="80" w:line="320" w:lineRule="auto"/>
        <w:jc w:val="both"/>
      </w:pPr>
      <w:r>
        <w:rPr>
          <w:rFonts w:ascii="Calibri" w:hAnsi="Calibri"/>
          <w:color w:val="1F2937"/>
          <w:sz w:val="22"/>
        </w:rPr>
        <w:t xml:space="preserve">This procedure establishes the controls by which the portal ensures that electronic records are accurate, retrievable and protected throughout their retention period, and that every electronic signature is uniquely attributable to one individual, carries an unambiguous meaning, and cannot be repudiated or transferred.</w:t>
      </w:r>
    </w:p>
    <w:p>
      <w:pPr>
        <w:spacing w:before="0" w:after="120" w:line="320" w:lineRule="auto"/>
        <w:jc w:val="both"/>
      </w:pPr>
      <w:r>
        <w:rPr>
          <w:rFonts w:ascii="Calibri" w:hAnsi="Calibri"/>
          <w:i/>
          <w:color w:val="5C6470"/>
          <w:sz w:val="22"/>
        </w:rPr>
        <w:t xml:space="preserve">Quy trình này thiết lập các biện pháp kiểm soát để bảo đảm hồ sơ điện tử chính xác, truy xuất được và được bảo vệ trong suốt thời gian lưu trữ, và mỗi chữ ký điện tử được quy cho duy nhất một cá nhân, mang ý nghĩa rõ ràng, không thể chối bỏ hoặc chuyển nhượng.</w:t>
      </w:r>
    </w:p>
    <w:p>
      <w:pPr>
        <w:spacing w:before="240" w:after="0"/>
      </w:pPr>
    </w:p>
    <w:tbl>
      <w:tblPr>
        <w:tblW w:w="9349" w:type="dxa"/>
        <w:tblBorders>
          <w:top w:val="nil"/>
          <w:left w:val="nil"/>
          <w:bottom w:val="nil"/>
          <w:right w:val="nil"/>
          <w:insideH w:val="nil"/>
          <w:insideV w:val="nil"/>
        </w:tblBorders>
        <w:tblLayout w:type="fixed"/>
      </w:tblPr>
      <w:tblGrid>
        <w:gridCol w:w="1500"/>
        <w:gridCol w:w="7849"/>
      </w:tblGrid>
      <w:tr>
        <w:trPr>
          <w:trHeight w:val="1100"/>
        </w:trPr>
        <w:tc>
          <w:tcPr>
            <w:tcW w:w="1500" w:type="dxa"/>
            <w:vAlign w:val="center"/>
            <w:tcBorders>
              <w:top w:val="nil"/>
              <w:left w:val="nil"/>
              <w:bottom w:val="nil"/>
              <w:right w:val="nil"/>
            </w:tcBorders>
          </w:tcPr>
          <w:p>
            <w:pPr>
              <w:spacing w:before="0" w:after="0"/>
            </w:pPr>
            <w:r>
              <w:rPr>
                <w:rFonts w:ascii="Calibri" w:hAnsi="Calibri"/>
                <w:b/>
                <w:color w:val="B5C8E5"/>
                <w:sz w:val="96"/>
              </w:rPr>
              <w:t xml:space="preserve">03</w:t>
            </w:r>
          </w:p>
        </w:tc>
        <w:tc>
          <w:tcPr>
            <w:tcW w:w="7849" w:type="dxa"/>
            <w:vAlign w:val="center"/>
            <w:tcBorders>
              <w:top w:val="nil"/>
              <w:left w:val="nil"/>
              <w:bottom w:val="nil"/>
              <w:right w:val="nil"/>
            </w:tcBorders>
          </w:tcPr>
          <w:p>
            <w:pPr>
              <w:spacing w:before="0" w:after="0"/>
            </w:pPr>
            <w:r>
              <w:rPr>
                <w:rFonts w:ascii="Calibri" w:hAnsi="Calibri"/>
                <w:b/>
                <w:color w:val="205090"/>
                <w:sz w:val="44"/>
              </w:rPr>
              <w:t xml:space="preserve">Scope</w:t>
            </w:r>
          </w:p>
          <w:p>
            <w:pPr>
              <w:spacing w:before="0" w:after="0"/>
            </w:pPr>
            <w:r>
              <w:rPr>
                <w:rFonts w:ascii="Calibri" w:hAnsi="Calibri"/>
                <w:i/>
                <w:color w:val="5C6470"/>
                <w:sz w:val="20"/>
              </w:rPr>
              <w:t xml:space="preserve">Phạm vi</w:t>
            </w:r>
          </w:p>
        </w:tc>
      </w:tr>
    </w:tbl>
    <w:p>
      <w:pPr>
        <w:pBdr>
          <w:bottom w:val="single" w:sz="18" w:space="1" w:color="00B060"/>
        </w:pBdr>
        <w:tabs>
          <w:tab w:val="left" w:pos="2268"/>
        </w:tabs>
        <w:spacing w:before="60" w:after="240"/>
      </w:pPr>
      <w:r>
        <w:rPr>
          <w:sz w:val="8"/>
        </w:rPr>
        <w:tab/>
      </w:r>
    </w:p>
    <w:p>
      <w:pPr>
        <w:spacing w:before="60" w:after="80" w:line="320" w:lineRule="auto"/>
        <w:jc w:val="both"/>
      </w:pPr>
      <w:r>
        <w:rPr>
          <w:rFonts w:ascii="Calibri" w:hAnsi="Calibri"/>
          <w:color w:val="1F2937"/>
          <w:sz w:val="22"/>
        </w:rPr>
        <w:t xml:space="preserve">Applies to all electronic records and signatures produced in the Humiley People &amp; Workplace Portal, and to every user who submits, approves, rejects or finalises a record in it.</w:t>
      </w:r>
    </w:p>
    <w:p>
      <w:pPr>
        <w:spacing w:before="0" w:after="120" w:line="320" w:lineRule="auto"/>
        <w:jc w:val="both"/>
      </w:pPr>
      <w:r>
        <w:rPr>
          <w:rFonts w:ascii="Calibri" w:hAnsi="Calibri"/>
          <w:i/>
          <w:color w:val="5C6470"/>
          <w:sz w:val="22"/>
        </w:rPr>
        <w:t xml:space="preserve">Áp dụng cho mọi hồ sơ và chữ ký điện tử được tạo trong Cổng Nhân sự &amp; Vận hành Humiley, và cho mọi người dùng gửi, phê duyệt, từ chối hoặc hoàn tất một hồ sơ trong đó.</w:t>
      </w:r>
    </w:p>
    <w:p>
      <w:pPr>
        <w:pBdr>
          <w:bottom w:val="single" w:sz="8" w:space="4" w:color="00B060"/>
        </w:pBdr>
        <w:spacing w:before="200" w:after="80"/>
      </w:pPr>
      <w:r>
        <w:rPr>
          <w:rFonts w:ascii="Calibri" w:hAnsi="Calibri"/>
          <w:b/>
          <w:color w:val="205090"/>
          <w:sz w:val="22"/>
          <w:spacing w:val="20"/>
        </w:rPr>
        <w:t xml:space="preserve">Signed operations in scope</w:t>
      </w:r>
      <w:r>
        <w:rPr>
          <w:rFonts w:ascii="Calibri" w:hAnsi="Calibri"/>
          <w:i/>
          <w:color w:val="5C6470"/>
          <w:sz w:val="22"/>
        </w:rPr>
        <w:t xml:space="preserve"> / Các thao tác được ký thuộc phạm vi</w:t>
      </w:r>
    </w:p>
    <w:p>
      <w:pPr>
        <w:numPr>
          <w:ilvl w:val="0"/>
          <w:numId w:val="900"/>
        </w:numPr>
        <w:spacing w:before="20" w:after="40" w:line="300" w:lineRule="auto"/>
      </w:pPr>
      <w:r>
        <w:rPr>
          <w:rFonts w:ascii="Calibri" w:hAnsi="Calibri"/>
          <w:color w:val="1F2937"/>
          <w:sz w:val="22"/>
        </w:rPr>
        <w:t xml:space="preserve">Expense claims — submission and approval / rejection.</w:t>
      </w:r>
      <w:r>
        <w:rPr>
          <w:rFonts w:ascii="Calibri" w:hAnsi="Calibri"/>
          <w:i/>
          <w:color w:val="5C6470"/>
          <w:sz w:val="22"/>
        </w:rPr>
        <w:t xml:space="preserve"> / Đề nghị hoàn chi phí — gửi và phê duyệt / từ chối.</w:t>
      </w:r>
    </w:p>
    <w:p>
      <w:pPr>
        <w:numPr>
          <w:ilvl w:val="0"/>
          <w:numId w:val="900"/>
        </w:numPr>
        <w:spacing w:before="20" w:after="40" w:line="300" w:lineRule="auto"/>
      </w:pPr>
      <w:r>
        <w:rPr>
          <w:rFonts w:ascii="Calibri" w:hAnsi="Calibri"/>
          <w:color w:val="1F2937"/>
          <w:sz w:val="22"/>
        </w:rPr>
        <w:t xml:space="preserve">Travel expense requests — submission and approval / rejection.</w:t>
      </w:r>
      <w:r>
        <w:rPr>
          <w:rFonts w:ascii="Calibri" w:hAnsi="Calibri"/>
          <w:i/>
          <w:color w:val="5C6470"/>
          <w:sz w:val="22"/>
        </w:rPr>
        <w:t xml:space="preserve"> / Đề nghị công tác phí — gửi và phê duyệt / từ chối.</w:t>
      </w:r>
    </w:p>
    <w:p>
      <w:pPr>
        <w:numPr>
          <w:ilvl w:val="0"/>
          <w:numId w:val="900"/>
        </w:numPr>
        <w:spacing w:before="20" w:after="40" w:line="300" w:lineRule="auto"/>
      </w:pPr>
      <w:r>
        <w:rPr>
          <w:rFonts w:ascii="Calibri" w:hAnsi="Calibri"/>
          <w:color w:val="1F2937"/>
          <w:sz w:val="22"/>
        </w:rPr>
        <w:t xml:space="preserve">Payment requests — submission, approval / rejection and mark-as-paid.</w:t>
      </w:r>
      <w:r>
        <w:rPr>
          <w:rFonts w:ascii="Calibri" w:hAnsi="Calibri"/>
          <w:i/>
          <w:color w:val="5C6470"/>
          <w:sz w:val="22"/>
        </w:rPr>
        <w:t xml:space="preserve"> / Đề nghị thanh toán — gửi, phê duyệt / từ chối và đánh dấu đã thanh toán.</w:t>
      </w:r>
    </w:p>
    <w:p>
      <w:pPr>
        <w:numPr>
          <w:ilvl w:val="0"/>
          <w:numId w:val="900"/>
        </w:numPr>
        <w:spacing w:before="20" w:after="40" w:line="300" w:lineRule="auto"/>
      </w:pPr>
      <w:r>
        <w:rPr>
          <w:rFonts w:ascii="Calibri" w:hAnsi="Calibri"/>
          <w:color w:val="1F2937"/>
          <w:sz w:val="22"/>
        </w:rPr>
        <w:t xml:space="preserve">Leave requests — submission and approval / rejection.</w:t>
      </w:r>
      <w:r>
        <w:rPr>
          <w:rFonts w:ascii="Calibri" w:hAnsi="Calibri"/>
          <w:i/>
          <w:color w:val="5C6470"/>
          <w:sz w:val="22"/>
        </w:rPr>
        <w:t xml:space="preserve"> / Đơn nghỉ phép — gửi và phê duyệt / từ chối.</w:t>
      </w:r>
    </w:p>
    <w:p>
      <w:pPr>
        <w:numPr>
          <w:ilvl w:val="0"/>
          <w:numId w:val="900"/>
        </w:numPr>
        <w:spacing w:before="20" w:after="40" w:line="300" w:lineRule="auto"/>
      </w:pPr>
      <w:r>
        <w:rPr>
          <w:rFonts w:ascii="Calibri" w:hAnsi="Calibri"/>
          <w:color w:val="1F2937"/>
          <w:sz w:val="22"/>
        </w:rPr>
        <w:t xml:space="preserve">Performance reviews (PADR) — finalisation.</w:t>
      </w:r>
      <w:r>
        <w:rPr>
          <w:rFonts w:ascii="Calibri" w:hAnsi="Calibri"/>
          <w:i/>
          <w:color w:val="5C6470"/>
          <w:sz w:val="22"/>
        </w:rPr>
        <w:t xml:space="preserve"> / Đánh giá hiệu suất (PADR) — hoàn tất.</w:t>
      </w:r>
    </w:p>
    <w:p>
      <w:pPr>
        <w:spacing w:before="240" w:after="0"/>
      </w:pPr>
    </w:p>
    <w:tbl>
      <w:tblPr>
        <w:tblW w:w="9349" w:type="dxa"/>
        <w:tblBorders>
          <w:top w:val="nil"/>
          <w:left w:val="nil"/>
          <w:bottom w:val="nil"/>
          <w:right w:val="nil"/>
          <w:insideH w:val="nil"/>
          <w:insideV w:val="nil"/>
        </w:tblBorders>
        <w:tblLayout w:type="fixed"/>
      </w:tblPr>
      <w:tblGrid>
        <w:gridCol w:w="1500"/>
        <w:gridCol w:w="7849"/>
      </w:tblGrid>
      <w:tr>
        <w:trPr>
          <w:trHeight w:val="1100"/>
        </w:trPr>
        <w:tc>
          <w:tcPr>
            <w:tcW w:w="1500" w:type="dxa"/>
            <w:vAlign w:val="center"/>
            <w:tcBorders>
              <w:top w:val="nil"/>
              <w:left w:val="nil"/>
              <w:bottom w:val="nil"/>
              <w:right w:val="nil"/>
            </w:tcBorders>
          </w:tcPr>
          <w:p>
            <w:pPr>
              <w:spacing w:before="0" w:after="0"/>
            </w:pPr>
            <w:r>
              <w:rPr>
                <w:rFonts w:ascii="Calibri" w:hAnsi="Calibri"/>
                <w:b/>
                <w:color w:val="B5C8E5"/>
                <w:sz w:val="96"/>
              </w:rPr>
              <w:t xml:space="preserve">04</w:t>
            </w:r>
          </w:p>
        </w:tc>
        <w:tc>
          <w:tcPr>
            <w:tcW w:w="7849" w:type="dxa"/>
            <w:vAlign w:val="center"/>
            <w:tcBorders>
              <w:top w:val="nil"/>
              <w:left w:val="nil"/>
              <w:bottom w:val="nil"/>
              <w:right w:val="nil"/>
            </w:tcBorders>
          </w:tcPr>
          <w:p>
            <w:pPr>
              <w:spacing w:before="0" w:after="0"/>
            </w:pPr>
            <w:r>
              <w:rPr>
                <w:rFonts w:ascii="Calibri" w:hAnsi="Calibri"/>
                <w:b/>
                <w:color w:val="205090"/>
                <w:sz w:val="44"/>
              </w:rPr>
              <w:t xml:space="preserve">Definitions</w:t>
            </w:r>
          </w:p>
          <w:p>
            <w:pPr>
              <w:spacing w:before="0" w:after="0"/>
            </w:pPr>
            <w:r>
              <w:rPr>
                <w:rFonts w:ascii="Calibri" w:hAnsi="Calibri"/>
                <w:i/>
                <w:color w:val="5C6470"/>
                <w:sz w:val="20"/>
              </w:rPr>
              <w:t xml:space="preserve">Định nghĩa</w:t>
            </w:r>
          </w:p>
        </w:tc>
      </w:tr>
    </w:tbl>
    <w:p>
      <w:pPr>
        <w:pBdr>
          <w:bottom w:val="single" w:sz="18" w:space="1" w:color="00B060"/>
        </w:pBdr>
        <w:tabs>
          <w:tab w:val="left" w:pos="2268"/>
        </w:tabs>
        <w:spacing w:before="60" w:after="240"/>
      </w:pPr>
      <w:r>
        <w:rPr>
          <w:sz w:val="8"/>
        </w:rPr>
        <w:tab/>
      </w:r>
    </w:p>
    <w:p>
      <w:pPr>
        <w:spacing w:before="40" w:after="40"/>
      </w:pPr>
    </w:p>
    <w:tbl>
      <w:tblPr>
        <w:tblW w:w="9349" w:type="dxa"/>
        <w:tblBorders>
          <w:top w:val="nil"/>
          <w:left w:val="nil"/>
          <w:bottom w:val="nil"/>
          <w:right w:val="nil"/>
          <w:insideH w:val="nil"/>
          <w:insideV w:val="nil"/>
        </w:tblBorders>
        <w:tblLayout w:type="fixed"/>
      </w:tblPr>
      <w:tblGrid>
        <w:gridCol w:w="3178"/>
        <w:gridCol w:w="6171"/>
      </w:tblGrid>
      <w:tr>
        <w:trPr>
          <w:trHeight w:val="360"/>
        </w:trPr>
        <w:tc>
          <w:tcPr>
            <w:tcW w:w="3178"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b/>
                <w:color w:val="205090"/>
                <w:sz w:val="22"/>
              </w:rPr>
              <w:t xml:space="preserve">Electronic record</w:t>
            </w:r>
          </w:p>
        </w:tc>
        <w:tc>
          <w:tcPr>
            <w:tcW w:w="6171"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Any data (text, values, attachments) created and retained by the portal.</w:t>
            </w:r>
          </w:p>
        </w:tc>
      </w:tr>
      <w:tr>
        <w:trPr>
          <w:trHeight w:val="360"/>
        </w:trPr>
        <w:tc>
          <w:tcPr>
            <w:tcW w:w="3178"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b/>
                <w:color w:val="205090"/>
                <w:sz w:val="22"/>
              </w:rPr>
              <w:t xml:space="preserve">Electronic signature</w:t>
            </w:r>
          </w:p>
        </w:tc>
        <w:tc>
          <w:tcPr>
            <w:tcW w:w="6171"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A signer’s name, UTC time and meaning stamped onto a record, executed with two components.</w:t>
            </w:r>
          </w:p>
        </w:tc>
      </w:tr>
      <w:tr>
        <w:trPr>
          <w:trHeight w:val="360"/>
        </w:trPr>
        <w:tc>
          <w:tcPr>
            <w:tcW w:w="3178"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b/>
                <w:color w:val="205090"/>
                <w:sz w:val="22"/>
              </w:rPr>
              <w:t xml:space="preserve">Signature manifestation</w:t>
            </w:r>
          </w:p>
        </w:tc>
        <w:tc>
          <w:tcPr>
            <w:tcW w:w="6171"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The human-readable rendering of a signature on-screen, in PDFs and in the audit trail.</w:t>
            </w:r>
          </w:p>
        </w:tc>
      </w:tr>
      <w:tr>
        <w:trPr>
          <w:trHeight w:val="360"/>
        </w:trPr>
        <w:tc>
          <w:tcPr>
            <w:tcW w:w="3178"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b/>
                <w:color w:val="205090"/>
                <w:sz w:val="22"/>
              </w:rPr>
              <w:t xml:space="preserve">Signing component</w:t>
            </w:r>
          </w:p>
        </w:tc>
        <w:tc>
          <w:tcPr>
            <w:tcW w:w="6171"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One of the two distinct elements that authenticate a signature (identity + M365 re-auth or PIN).</w:t>
            </w:r>
          </w:p>
        </w:tc>
      </w:tr>
      <w:tr>
        <w:trPr>
          <w:trHeight w:val="360"/>
        </w:trPr>
        <w:tc>
          <w:tcPr>
            <w:tcW w:w="3178"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b/>
                <w:color w:val="205090"/>
                <w:sz w:val="22"/>
              </w:rPr>
              <w:t xml:space="preserve">Signature PIN</w:t>
            </w:r>
          </w:p>
        </w:tc>
        <w:tc>
          <w:tcPr>
            <w:tcW w:w="6171"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A private 6-12 character code the individual sets to sign, stored only as a salted hash.</w:t>
            </w:r>
          </w:p>
        </w:tc>
      </w:tr>
      <w:tr>
        <w:trPr>
          <w:trHeight w:val="360"/>
        </w:trPr>
        <w:tc>
          <w:tcPr>
            <w:tcW w:w="3178"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b/>
                <w:color w:val="205090"/>
                <w:sz w:val="22"/>
              </w:rPr>
              <w:t xml:space="preserve">Audit trail</w:t>
            </w:r>
          </w:p>
        </w:tc>
        <w:tc>
          <w:tcPr>
            <w:tcW w:w="6171"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The append-only, time-stamped log of every signing and PIN-lifecycle event.</w:t>
            </w:r>
          </w:p>
        </w:tc>
      </w:tr>
    </w:tbl>
    <w:p>
      <w:pPr>
        <w:spacing w:before="240" w:after="0"/>
      </w:pPr>
    </w:p>
    <w:tbl>
      <w:tblPr>
        <w:tblW w:w="9349" w:type="dxa"/>
        <w:tblBorders>
          <w:top w:val="nil"/>
          <w:left w:val="nil"/>
          <w:bottom w:val="nil"/>
          <w:right w:val="nil"/>
          <w:insideH w:val="nil"/>
          <w:insideV w:val="nil"/>
        </w:tblBorders>
        <w:tblLayout w:type="fixed"/>
      </w:tblPr>
      <w:tblGrid>
        <w:gridCol w:w="1500"/>
        <w:gridCol w:w="7849"/>
      </w:tblGrid>
      <w:tr>
        <w:trPr>
          <w:trHeight w:val="1100"/>
        </w:trPr>
        <w:tc>
          <w:tcPr>
            <w:tcW w:w="1500" w:type="dxa"/>
            <w:vAlign w:val="center"/>
            <w:tcBorders>
              <w:top w:val="nil"/>
              <w:left w:val="nil"/>
              <w:bottom w:val="nil"/>
              <w:right w:val="nil"/>
            </w:tcBorders>
          </w:tcPr>
          <w:p>
            <w:pPr>
              <w:spacing w:before="0" w:after="0"/>
            </w:pPr>
            <w:r>
              <w:rPr>
                <w:rFonts w:ascii="Calibri" w:hAnsi="Calibri"/>
                <w:b/>
                <w:color w:val="B5C8E5"/>
                <w:sz w:val="96"/>
              </w:rPr>
              <w:t xml:space="preserve">05</w:t>
            </w:r>
          </w:p>
        </w:tc>
        <w:tc>
          <w:tcPr>
            <w:tcW w:w="7849" w:type="dxa"/>
            <w:vAlign w:val="center"/>
            <w:tcBorders>
              <w:top w:val="nil"/>
              <w:left w:val="nil"/>
              <w:bottom w:val="nil"/>
              <w:right w:val="nil"/>
            </w:tcBorders>
          </w:tcPr>
          <w:p>
            <w:pPr>
              <w:spacing w:before="0" w:after="0"/>
            </w:pPr>
            <w:r>
              <w:rPr>
                <w:rFonts w:ascii="Calibri" w:hAnsi="Calibri"/>
                <w:b/>
                <w:color w:val="205090"/>
                <w:sz w:val="44"/>
              </w:rPr>
              <w:t xml:space="preserve">Roles &amp; Responsibilities</w:t>
            </w:r>
          </w:p>
          <w:p>
            <w:pPr>
              <w:spacing w:before="0" w:after="0"/>
            </w:pPr>
            <w:r>
              <w:rPr>
                <w:rFonts w:ascii="Calibri" w:hAnsi="Calibri"/>
                <w:i/>
                <w:color w:val="5C6470"/>
                <w:sz w:val="20"/>
              </w:rPr>
              <w:t xml:space="preserve">Vai trò &amp; Trách nhiệm</w:t>
            </w:r>
          </w:p>
        </w:tc>
      </w:tr>
    </w:tbl>
    <w:p>
      <w:pPr>
        <w:pBdr>
          <w:bottom w:val="single" w:sz="18" w:space="1" w:color="00B060"/>
        </w:pBdr>
        <w:tabs>
          <w:tab w:val="left" w:pos="2268"/>
        </w:tabs>
        <w:spacing w:before="60" w:after="240"/>
      </w:pPr>
      <w:r>
        <w:rPr>
          <w:sz w:val="8"/>
        </w:rPr>
        <w:tab/>
      </w:r>
    </w:p>
    <w:p>
      <w:pPr>
        <w:spacing w:before="40" w:after="40"/>
      </w:pPr>
    </w:p>
    <w:tbl>
      <w:tblPr>
        <w:tblW w:w="9349" w:type="dxa"/>
        <w:tblBorders>
          <w:top w:val="nil"/>
          <w:left w:val="nil"/>
          <w:bottom w:val="nil"/>
          <w:right w:val="nil"/>
          <w:insideH w:val="nil"/>
          <w:insideV w:val="nil"/>
        </w:tblBorders>
        <w:tblLayout w:type="fixed"/>
      </w:tblPr>
      <w:tblGrid>
        <w:gridCol w:w="2600"/>
        <w:gridCol w:w="6749"/>
      </w:tblGrid>
      <w:tr>
        <w:trPr>
          <w:trHeight w:val="420"/>
        </w:trPr>
        <w:tc>
          <w:tcPr>
            <w:tcW w:w="2600" w:type="dxa"/>
            <w:tcBorders>
              <w:top w:val="single" w:sz="2" w:color="FFFFFF"/>
              <w:left w:val="single" w:sz="2" w:color="FFFFFF"/>
              <w:bottom w:val="single" w:sz="2" w:color="FFFFFF"/>
              <w:right w:val="single" w:sz="2" w:color="FFFFFF"/>
            </w:tcBorders>
            <w:shd w:val="clear" w:color="auto" w:fill="205090"/>
            <w:tcMar>
              <w:top w:w="100" w:type="dxa"/>
              <w:bottom w:w="100" w:type="dxa"/>
              <w:left w:w="180" w:type="dxa"/>
              <w:right w:w="180" w:type="dxa"/>
            </w:tcMar>
            <w:vAlign w:val="center"/>
          </w:tcPr>
          <w:p>
            <w:pPr>
              <w:spacing w:before="0" w:after="0"/>
            </w:pPr>
            <w:r>
              <w:rPr>
                <w:rFonts w:ascii="Calibri" w:hAnsi="Calibri"/>
                <w:b/>
                <w:color w:val="FFFFFF"/>
                <w:sz w:val="22"/>
              </w:rPr>
              <w:t xml:space="preserve">Role</w:t>
            </w:r>
          </w:p>
        </w:tc>
        <w:tc>
          <w:tcPr>
            <w:tcW w:w="6749" w:type="dxa"/>
            <w:tcBorders>
              <w:top w:val="single" w:sz="2" w:color="FFFFFF"/>
              <w:left w:val="single" w:sz="2" w:color="FFFFFF"/>
              <w:bottom w:val="single" w:sz="2" w:color="FFFFFF"/>
              <w:right w:val="single" w:sz="2" w:color="FFFFFF"/>
            </w:tcBorders>
            <w:shd w:val="clear" w:color="auto" w:fill="205090"/>
            <w:tcMar>
              <w:top w:w="100" w:type="dxa"/>
              <w:bottom w:w="100" w:type="dxa"/>
              <w:left w:w="180" w:type="dxa"/>
              <w:right w:w="180" w:type="dxa"/>
            </w:tcMar>
            <w:vAlign w:val="center"/>
          </w:tcPr>
          <w:p>
            <w:pPr>
              <w:spacing w:before="0" w:after="0"/>
            </w:pPr>
            <w:r>
              <w:rPr>
                <w:rFonts w:ascii="Calibri" w:hAnsi="Calibri"/>
                <w:b/>
                <w:color w:val="FFFFFF"/>
                <w:sz w:val="22"/>
              </w:rPr>
              <w:t xml:space="preserve">Responsibility</w:t>
            </w:r>
          </w:p>
        </w:tc>
      </w:tr>
      <w:tr>
        <w:trPr>
          <w:trHeight w:val="360"/>
        </w:trPr>
        <w:tc>
          <w:tcPr>
            <w:tcW w:w="26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Managing Director / Approver</w:t>
            </w:r>
          </w:p>
        </w:tc>
        <w:tc>
          <w:tcPr>
            <w:tcW w:w="67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Approves this SOP; owns final approval of high-value records.</w:t>
            </w:r>
          </w:p>
        </w:tc>
      </w:tr>
      <w:tr>
        <w:trPr>
          <w:trHeight w:val="360"/>
        </w:trPr>
        <w:tc>
          <w:tcPr>
            <w:tcW w:w="26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Manager (Approver)</w:t>
            </w:r>
          </w:p>
        </w:tc>
        <w:tc>
          <w:tcPr>
            <w:tcW w:w="67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Reviews and signs approve / reject / mark-paid decisions for their reports.</w:t>
            </w:r>
          </w:p>
        </w:tc>
      </w:tr>
      <w:tr>
        <w:trPr>
          <w:trHeight w:val="360"/>
        </w:trPr>
        <w:tc>
          <w:tcPr>
            <w:tcW w:w="26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Employee (User)</w:t>
            </w:r>
          </w:p>
        </w:tc>
        <w:tc>
          <w:tcPr>
            <w:tcW w:w="67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Submits and signs their own records; sets and safeguards their own signature PIN.</w:t>
            </w:r>
          </w:p>
        </w:tc>
      </w:tr>
      <w:tr>
        <w:trPr>
          <w:trHeight w:val="360"/>
        </w:trPr>
        <w:tc>
          <w:tcPr>
            <w:tcW w:w="26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IT / QA</w:t>
            </w:r>
          </w:p>
        </w:tc>
        <w:tc>
          <w:tcPr>
            <w:tcW w:w="67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Maintains the portal, the pepper secret and backups; reviews the audit trail; de-authorises PINs on loss.</w:t>
            </w:r>
          </w:p>
        </w:tc>
      </w:tr>
    </w:tbl>
    <w:p>
      <w:pPr>
        <w:spacing w:before="240" w:after="0"/>
      </w:pPr>
    </w:p>
    <w:tbl>
      <w:tblPr>
        <w:tblW w:w="9349" w:type="dxa"/>
        <w:tblBorders>
          <w:top w:val="nil"/>
          <w:left w:val="nil"/>
          <w:bottom w:val="nil"/>
          <w:right w:val="nil"/>
          <w:insideH w:val="nil"/>
          <w:insideV w:val="nil"/>
        </w:tblBorders>
        <w:tblLayout w:type="fixed"/>
      </w:tblPr>
      <w:tblGrid>
        <w:gridCol w:w="1500"/>
        <w:gridCol w:w="7849"/>
      </w:tblGrid>
      <w:tr>
        <w:trPr>
          <w:trHeight w:val="1100"/>
        </w:trPr>
        <w:tc>
          <w:tcPr>
            <w:tcW w:w="1500" w:type="dxa"/>
            <w:vAlign w:val="center"/>
            <w:tcBorders>
              <w:top w:val="nil"/>
              <w:left w:val="nil"/>
              <w:bottom w:val="nil"/>
              <w:right w:val="nil"/>
            </w:tcBorders>
          </w:tcPr>
          <w:p>
            <w:pPr>
              <w:spacing w:before="0" w:after="0"/>
            </w:pPr>
            <w:r>
              <w:rPr>
                <w:rFonts w:ascii="Calibri" w:hAnsi="Calibri"/>
                <w:b/>
                <w:color w:val="B5C8E5"/>
                <w:sz w:val="96"/>
              </w:rPr>
              <w:t xml:space="preserve">06</w:t>
            </w:r>
          </w:p>
        </w:tc>
        <w:tc>
          <w:tcPr>
            <w:tcW w:w="7849" w:type="dxa"/>
            <w:vAlign w:val="center"/>
            <w:tcBorders>
              <w:top w:val="nil"/>
              <w:left w:val="nil"/>
              <w:bottom w:val="nil"/>
              <w:right w:val="nil"/>
            </w:tcBorders>
          </w:tcPr>
          <w:p>
            <w:pPr>
              <w:spacing w:before="0" w:after="0"/>
            </w:pPr>
            <w:r>
              <w:rPr>
                <w:rFonts w:ascii="Calibri" w:hAnsi="Calibri"/>
                <w:b/>
                <w:color w:val="205090"/>
                <w:sz w:val="44"/>
              </w:rPr>
              <w:t xml:space="preserve">Electronic Signature Methods</w:t>
            </w:r>
          </w:p>
          <w:p>
            <w:pPr>
              <w:spacing w:before="0" w:after="0"/>
            </w:pPr>
            <w:r>
              <w:rPr>
                <w:rFonts w:ascii="Calibri" w:hAnsi="Calibri"/>
                <w:i/>
                <w:color w:val="5C6470"/>
                <w:sz w:val="20"/>
              </w:rPr>
              <w:t xml:space="preserve">Phương thức ký điện tử</w:t>
            </w:r>
          </w:p>
        </w:tc>
      </w:tr>
    </w:tbl>
    <w:p>
      <w:pPr>
        <w:pBdr>
          <w:bottom w:val="single" w:sz="18" w:space="1" w:color="00B060"/>
        </w:pBdr>
        <w:tabs>
          <w:tab w:val="left" w:pos="2268"/>
        </w:tabs>
        <w:spacing w:before="60" w:after="240"/>
      </w:pPr>
      <w:r>
        <w:rPr>
          <w:sz w:val="8"/>
        </w:rPr>
        <w:tab/>
      </w:r>
    </w:p>
    <w:p>
      <w:pPr>
        <w:spacing w:before="60" w:after="80" w:line="320" w:lineRule="auto"/>
        <w:jc w:val="both"/>
      </w:pPr>
      <w:r>
        <w:rPr>
          <w:rFonts w:ascii="Calibri" w:hAnsi="Calibri"/>
          <w:color w:val="1F2937"/>
          <w:sz w:val="22"/>
        </w:rPr>
        <w:t xml:space="preserve">Every signing uses two distinct identification components (21 CFR 11.200): the authenticated session identity (something the signer has — a Microsoft 365-backed session) plus one of the following second components (something the signer knows / controls):</w:t>
      </w:r>
    </w:p>
    <w:p>
      <w:pPr>
        <w:spacing w:before="0" w:after="120" w:line="320" w:lineRule="auto"/>
        <w:jc w:val="both"/>
      </w:pPr>
      <w:r>
        <w:rPr>
          <w:rFonts w:ascii="Calibri" w:hAnsi="Calibri"/>
          <w:i/>
          <w:color w:val="5C6470"/>
          <w:sz w:val="22"/>
        </w:rPr>
        <w:t xml:space="preserve">Mỗi lần ký sử dụng hai thành phần nhận dạng khác biệt (21 CFR 11.200): danh tính phiên đã xác thực (thứ người ký sở hữu — phiên làm việc dựa trên Microsoft 365) cùng một trong các thành phần thứ hai sau:</w:t>
      </w:r>
    </w:p>
    <w:p>
      <w:pPr>
        <w:pBdr>
          <w:bottom w:val="single" w:sz="8" w:space="4" w:color="00B060"/>
        </w:pBdr>
        <w:spacing w:before="200" w:after="80"/>
      </w:pPr>
      <w:r>
        <w:rPr>
          <w:rFonts w:ascii="Calibri" w:hAnsi="Calibri"/>
          <w:b/>
          <w:color w:val="205090"/>
          <w:sz w:val="22"/>
          <w:spacing w:val="20"/>
        </w:rPr>
        <w:t xml:space="preserve">Method A — Microsoft 365 re-authentication</w:t>
      </w:r>
      <w:r>
        <w:rPr>
          <w:rFonts w:ascii="Calibri" w:hAnsi="Calibri"/>
          <w:i/>
          <w:color w:val="5C6470"/>
          <w:sz w:val="22"/>
        </w:rPr>
        <w:t xml:space="preserve"> / Phương thức A — Xác thực lại Microsoft 365</w:t>
      </w:r>
    </w:p>
    <w:p>
      <w:pPr>
        <w:spacing w:before="60" w:after="80" w:line="320" w:lineRule="auto"/>
        <w:jc w:val="both"/>
      </w:pPr>
      <w:r>
        <w:rPr>
          <w:rFonts w:ascii="Calibri" w:hAnsi="Calibri"/>
          <w:color w:val="1F2937"/>
          <w:sz w:val="22"/>
        </w:rPr>
        <w:t xml:space="preserve">The signer completes a fresh interactive Microsoft 365 sign-in at the moment of signing. The server validates the sign-in token’s tenant, audience and authentication time (within 600 seconds) before the signature is accepted.</w:t>
      </w:r>
    </w:p>
    <w:p>
      <w:pPr>
        <w:spacing w:before="0" w:after="120" w:line="320" w:lineRule="auto"/>
        <w:jc w:val="both"/>
      </w:pPr>
      <w:r>
        <w:rPr>
          <w:rFonts w:ascii="Calibri" w:hAnsi="Calibri"/>
          <w:i/>
          <w:color w:val="5C6470"/>
          <w:sz w:val="22"/>
        </w:rPr>
        <w:t xml:space="preserve">Người ký thực hiện đăng nhập Microsoft 365 tương tác mới ngay tại thời điểm ký. Máy chủ kiểm tra tenant, đối tượng và thời điểm xác thực của mã thông báo (trong vòng 600 giây) trước khi chấp nhận chữ ký.</w:t>
      </w:r>
    </w:p>
    <w:p>
      <w:pPr>
        <w:pBdr>
          <w:bottom w:val="single" w:sz="8" w:space="4" w:color="00B060"/>
        </w:pBdr>
        <w:spacing w:before="200" w:after="80"/>
      </w:pPr>
      <w:r>
        <w:rPr>
          <w:rFonts w:ascii="Calibri" w:hAnsi="Calibri"/>
          <w:b/>
          <w:color w:val="205090"/>
          <w:sz w:val="22"/>
          <w:spacing w:val="20"/>
        </w:rPr>
        <w:t xml:space="preserve">Method B — Signature PIN</w:t>
      </w:r>
      <w:r>
        <w:rPr>
          <w:rFonts w:ascii="Calibri" w:hAnsi="Calibri"/>
          <w:i/>
          <w:color w:val="5C6470"/>
          <w:sz w:val="22"/>
        </w:rPr>
        <w:t xml:space="preserve"> / Phương thức B — Mã PIN chữ ký</w:t>
      </w:r>
    </w:p>
    <w:p>
      <w:pPr>
        <w:spacing w:before="60" w:after="80" w:line="320" w:lineRule="auto"/>
        <w:jc w:val="both"/>
      </w:pPr>
      <w:r>
        <w:rPr>
          <w:rFonts w:ascii="Calibri" w:hAnsi="Calibri"/>
          <w:color w:val="1F2937"/>
          <w:sz w:val="22"/>
        </w:rPr>
        <w:t xml:space="preserve">The signer enters a private PIN they set themselves. The server verifies it against a salted, one-way hash. The PIN and the authenticated session together form the two required components; the PIN is never stored, logged or displayed in plain text.</w:t>
      </w:r>
    </w:p>
    <w:p>
      <w:pPr>
        <w:spacing w:before="0" w:after="120" w:line="320" w:lineRule="auto"/>
        <w:jc w:val="both"/>
      </w:pPr>
      <w:r>
        <w:rPr>
          <w:rFonts w:ascii="Calibri" w:hAnsi="Calibri"/>
          <w:i/>
          <w:color w:val="5C6470"/>
          <w:sz w:val="22"/>
        </w:rPr>
        <w:t xml:space="preserve">Người ký nhập mã PIN riêng do chính họ đặt. Máy chủ đối chiếu với một giá trị băm một chiều có muối. Mã PIN và phiên đã xác thực cùng tạo thành hai thành phần bắt buộc; mã PIN không bao giờ được lưu, ghi nhật ký hay hiển thị ở dạng văn bản thô.</w:t>
      </w:r>
    </w:p>
    <w:p>
      <w:pPr>
        <w:spacing w:before="60" w:after="80" w:line="320" w:lineRule="auto"/>
        <w:jc w:val="both"/>
      </w:pPr>
      <w:r>
        <w:rPr>
          <w:rFonts w:ascii="Calibri" w:hAnsi="Calibri"/>
          <w:color w:val="1F2937"/>
          <w:sz w:val="22"/>
        </w:rPr>
        <w:t xml:space="preserve">In a continuous, controlled session the identity component is established at sign-in; each individual signing thereafter re-enters the PIN (or re-authenticates), and the PIN field is cleared immediately after use.</w:t>
      </w:r>
    </w:p>
    <w:p>
      <w:pPr>
        <w:spacing w:before="0" w:after="120" w:line="320" w:lineRule="auto"/>
        <w:jc w:val="both"/>
      </w:pPr>
      <w:r>
        <w:rPr>
          <w:rFonts w:ascii="Calibri" w:hAnsi="Calibri"/>
          <w:i/>
          <w:color w:val="5C6470"/>
          <w:sz w:val="22"/>
        </w:rPr>
        <w:t xml:space="preserve">Trong một phiên làm việc liên tục, có kiểm soát, thành phần danh tính được thiết lập khi đăng nhập; mỗi lần ký sau đó đều phải nhập lại mã PIN (hoặc xác thực lại), và ô nhập PIN được xóa ngay sau khi dùng.</w:t>
      </w:r>
    </w:p>
    <w:p>
      <w:pPr>
        <w:spacing w:before="240" w:after="0"/>
      </w:pPr>
    </w:p>
    <w:tbl>
      <w:tblPr>
        <w:tblW w:w="9349" w:type="dxa"/>
        <w:tblBorders>
          <w:top w:val="nil"/>
          <w:left w:val="nil"/>
          <w:bottom w:val="nil"/>
          <w:right w:val="nil"/>
          <w:insideH w:val="nil"/>
          <w:insideV w:val="nil"/>
        </w:tblBorders>
        <w:tblLayout w:type="fixed"/>
      </w:tblPr>
      <w:tblGrid>
        <w:gridCol w:w="1500"/>
        <w:gridCol w:w="7849"/>
      </w:tblGrid>
      <w:tr>
        <w:trPr>
          <w:trHeight w:val="1100"/>
        </w:trPr>
        <w:tc>
          <w:tcPr>
            <w:tcW w:w="1500" w:type="dxa"/>
            <w:vAlign w:val="center"/>
            <w:tcBorders>
              <w:top w:val="nil"/>
              <w:left w:val="nil"/>
              <w:bottom w:val="nil"/>
              <w:right w:val="nil"/>
            </w:tcBorders>
          </w:tcPr>
          <w:p>
            <w:pPr>
              <w:spacing w:before="0" w:after="0"/>
            </w:pPr>
            <w:r>
              <w:rPr>
                <w:rFonts w:ascii="Calibri" w:hAnsi="Calibri"/>
                <w:b/>
                <w:color w:val="B5C8E5"/>
                <w:sz w:val="96"/>
              </w:rPr>
              <w:t xml:space="preserve">07</w:t>
            </w:r>
          </w:p>
        </w:tc>
        <w:tc>
          <w:tcPr>
            <w:tcW w:w="7849" w:type="dxa"/>
            <w:vAlign w:val="center"/>
            <w:tcBorders>
              <w:top w:val="nil"/>
              <w:left w:val="nil"/>
              <w:bottom w:val="nil"/>
              <w:right w:val="nil"/>
            </w:tcBorders>
          </w:tcPr>
          <w:p>
            <w:pPr>
              <w:spacing w:before="0" w:after="0"/>
            </w:pPr>
            <w:r>
              <w:rPr>
                <w:rFonts w:ascii="Calibri" w:hAnsi="Calibri"/>
                <w:b/>
                <w:color w:val="205090"/>
                <w:sz w:val="44"/>
              </w:rPr>
              <w:t xml:space="preserve">Signature Manifestation &amp; Meaning</w:t>
            </w:r>
          </w:p>
          <w:p>
            <w:pPr>
              <w:spacing w:before="0" w:after="0"/>
            </w:pPr>
            <w:r>
              <w:rPr>
                <w:rFonts w:ascii="Calibri" w:hAnsi="Calibri"/>
                <w:i/>
                <w:color w:val="5C6470"/>
                <w:sz w:val="20"/>
              </w:rPr>
              <w:t xml:space="preserve">Thể hiện chữ ký &amp; Ý nghĩa</w:t>
            </w:r>
          </w:p>
        </w:tc>
      </w:tr>
    </w:tbl>
    <w:p>
      <w:pPr>
        <w:pBdr>
          <w:bottom w:val="single" w:sz="18" w:space="1" w:color="00B060"/>
        </w:pBdr>
        <w:tabs>
          <w:tab w:val="left" w:pos="2268"/>
        </w:tabs>
        <w:spacing w:before="60" w:after="240"/>
      </w:pPr>
      <w:r>
        <w:rPr>
          <w:sz w:val="8"/>
        </w:rPr>
        <w:tab/>
      </w:r>
    </w:p>
    <w:p>
      <w:pPr>
        <w:spacing w:before="60" w:after="80" w:line="320" w:lineRule="auto"/>
        <w:jc w:val="both"/>
      </w:pPr>
      <w:r>
        <w:rPr>
          <w:rFonts w:ascii="Calibri" w:hAnsi="Calibri"/>
          <w:color w:val="1F2937"/>
          <w:sz w:val="22"/>
        </w:rPr>
        <w:t xml:space="preserve">Each applied signature records the signer’s printed name and email, the UTC date and time, the meaning of the signing (e.g. Submit, Approve, Reject, Finalise) and the method used. Before signing, the user confirms a certification statement that the electronic signature is the legally binding equivalent of their handwritten signature. Signatures are shown on the record, on exported PDF vouchers, and in the audit trail, and are retained for the life of the record (21 CFR 11.50 / 11.70).</w:t>
      </w:r>
    </w:p>
    <w:p>
      <w:pPr>
        <w:spacing w:before="0" w:after="120" w:line="320" w:lineRule="auto"/>
        <w:jc w:val="both"/>
      </w:pPr>
      <w:r>
        <w:rPr>
          <w:rFonts w:ascii="Calibri" w:hAnsi="Calibri"/>
          <w:i/>
          <w:color w:val="5C6470"/>
          <w:sz w:val="22"/>
        </w:rPr>
        <w:t xml:space="preserve">Mỗi chữ ký được áp dụng ghi lại họ tên và email của người ký, ngày giờ UTC, ý nghĩa của lần ký (ví dụ: Gửi, Phê duyệt, Từ chối, Hoàn tất) và phương thức sử dụng. Trước khi ký, người dùng xác nhận cam kết rằng chữ ký điện tử có giá trị pháp lý tương đương chữ ký tay. Chữ ký hiển thị trên hồ sơ, trên chứng từ PDF xuất ra và trong nhật ký kiểm toán, được lưu trong suốt vòng đời của hồ sơ (21 CFR 11.50 / 11.70).</w:t>
      </w:r>
    </w:p>
    <w:p>
      <w:pPr>
        <w:spacing w:before="240" w:after="0"/>
      </w:pPr>
    </w:p>
    <w:tbl>
      <w:tblPr>
        <w:tblW w:w="9349" w:type="dxa"/>
        <w:tblBorders>
          <w:top w:val="nil"/>
          <w:left w:val="nil"/>
          <w:bottom w:val="nil"/>
          <w:right w:val="nil"/>
          <w:insideH w:val="nil"/>
          <w:insideV w:val="nil"/>
        </w:tblBorders>
        <w:tblLayout w:type="fixed"/>
      </w:tblPr>
      <w:tblGrid>
        <w:gridCol w:w="1500"/>
        <w:gridCol w:w="7849"/>
      </w:tblGrid>
      <w:tr>
        <w:trPr>
          <w:trHeight w:val="1100"/>
        </w:trPr>
        <w:tc>
          <w:tcPr>
            <w:tcW w:w="1500" w:type="dxa"/>
            <w:vAlign w:val="center"/>
            <w:tcBorders>
              <w:top w:val="nil"/>
              <w:left w:val="nil"/>
              <w:bottom w:val="nil"/>
              <w:right w:val="nil"/>
            </w:tcBorders>
          </w:tcPr>
          <w:p>
            <w:pPr>
              <w:spacing w:before="0" w:after="0"/>
            </w:pPr>
            <w:r>
              <w:rPr>
                <w:rFonts w:ascii="Calibri" w:hAnsi="Calibri"/>
                <w:b/>
                <w:color w:val="B5C8E5"/>
                <w:sz w:val="96"/>
              </w:rPr>
              <w:t xml:space="preserve">08</w:t>
            </w:r>
          </w:p>
        </w:tc>
        <w:tc>
          <w:tcPr>
            <w:tcW w:w="7849" w:type="dxa"/>
            <w:vAlign w:val="center"/>
            <w:tcBorders>
              <w:top w:val="nil"/>
              <w:left w:val="nil"/>
              <w:bottom w:val="nil"/>
              <w:right w:val="nil"/>
            </w:tcBorders>
          </w:tcPr>
          <w:p>
            <w:pPr>
              <w:spacing w:before="0" w:after="0"/>
            </w:pPr>
            <w:r>
              <w:rPr>
                <w:rFonts w:ascii="Calibri" w:hAnsi="Calibri"/>
                <w:b/>
                <w:color w:val="205090"/>
                <w:sz w:val="44"/>
              </w:rPr>
              <w:t xml:space="preserve">Signature PIN — Lifecycle &amp; Controls</w:t>
            </w:r>
          </w:p>
          <w:p>
            <w:pPr>
              <w:spacing w:before="0" w:after="0"/>
            </w:pPr>
            <w:r>
              <w:rPr>
                <w:rFonts w:ascii="Calibri" w:hAnsi="Calibri"/>
                <w:i/>
                <w:color w:val="5C6470"/>
                <w:sz w:val="20"/>
              </w:rPr>
              <w:t xml:space="preserve">Mã PIN chữ ký — Vòng đời &amp; Kiểm soát</w:t>
            </w:r>
          </w:p>
        </w:tc>
      </w:tr>
    </w:tbl>
    <w:p>
      <w:pPr>
        <w:pBdr>
          <w:bottom w:val="single" w:sz="18" w:space="1" w:color="00B060"/>
        </w:pBdr>
        <w:tabs>
          <w:tab w:val="left" w:pos="2268"/>
        </w:tabs>
        <w:spacing w:before="60" w:after="240"/>
      </w:pPr>
      <w:r>
        <w:rPr>
          <w:sz w:val="8"/>
        </w:rPr>
        <w:tab/>
      </w:r>
    </w:p>
    <w:p>
      <w:pPr>
        <w:pBdr>
          <w:bottom w:val="single" w:sz="8" w:space="4" w:color="00B060"/>
        </w:pBdr>
        <w:spacing w:before="200" w:after="80"/>
      </w:pPr>
      <w:r>
        <w:rPr>
          <w:rFonts w:ascii="Calibri" w:hAnsi="Calibri"/>
          <w:b/>
          <w:color w:val="205090"/>
          <w:sz w:val="22"/>
          <w:spacing w:val="20"/>
        </w:rPr>
        <w:t xml:space="preserve">Enrolment (identity binding)</w:t>
      </w:r>
      <w:r>
        <w:rPr>
          <w:rFonts w:ascii="Calibri" w:hAnsi="Calibri"/>
          <w:i/>
          <w:color w:val="5C6470"/>
          <w:sz w:val="22"/>
        </w:rPr>
        <w:t xml:space="preserve"> / Đăng ký (ràng buộc danh tính)</w:t>
      </w:r>
    </w:p>
    <w:p>
      <w:pPr>
        <w:spacing w:before="60" w:after="80" w:line="320" w:lineRule="auto"/>
        <w:jc w:val="both"/>
      </w:pPr>
      <w:r>
        <w:rPr>
          <w:rFonts w:ascii="Calibri" w:hAnsi="Calibri"/>
          <w:color w:val="1F2937"/>
          <w:sz w:val="22"/>
        </w:rPr>
        <w:t xml:space="preserve">An employee sets their own PIN from My Profile. In production, enrolment requires a fresh Microsoft 365 re-authentication so the new PIN is bound to the organisation’s verified identity (21 CFR 11.100(b)). Only one active PIN exists per person.</w:t>
      </w:r>
    </w:p>
    <w:p>
      <w:pPr>
        <w:spacing w:before="0" w:after="120" w:line="320" w:lineRule="auto"/>
        <w:jc w:val="both"/>
      </w:pPr>
      <w:r>
        <w:rPr>
          <w:rFonts w:ascii="Calibri" w:hAnsi="Calibri"/>
          <w:i/>
          <w:color w:val="5C6470"/>
          <w:sz w:val="22"/>
        </w:rPr>
        <w:t xml:space="preserve">Nhân viên tự đặt mã PIN từ Hồ sơ của tôi. Trong môi trường vận hành, việc đăng ký yêu cầu xác thực lại Microsoft 365 để mã PIN mới được ràng buộc với danh tính đã xác minh của tổ chức (21 CFR 11.100(b)). Mỗi người chỉ có một mã PIN đang hoạt động.</w:t>
      </w:r>
    </w:p>
    <w:p>
      <w:pPr>
        <w:pBdr>
          <w:bottom w:val="single" w:sz="8" w:space="4" w:color="00B060"/>
        </w:pBdr>
        <w:spacing w:before="200" w:after="80"/>
      </w:pPr>
      <w:r>
        <w:rPr>
          <w:rFonts w:ascii="Calibri" w:hAnsi="Calibri"/>
          <w:b/>
          <w:color w:val="205090"/>
          <w:sz w:val="22"/>
          <w:spacing w:val="20"/>
        </w:rPr>
        <w:t xml:space="preserve">PIN policy</w:t>
      </w:r>
      <w:r>
        <w:rPr>
          <w:rFonts w:ascii="Calibri" w:hAnsi="Calibri"/>
          <w:i/>
          <w:color w:val="5C6470"/>
          <w:sz w:val="22"/>
        </w:rPr>
        <w:t xml:space="preserve"> / Chính sách mã PIN</w:t>
      </w:r>
    </w:p>
    <w:p>
      <w:pPr>
        <w:numPr>
          <w:ilvl w:val="0"/>
          <w:numId w:val="900"/>
        </w:numPr>
        <w:spacing w:before="20" w:after="40" w:line="300" w:lineRule="auto"/>
      </w:pPr>
      <w:r>
        <w:rPr>
          <w:rFonts w:ascii="Calibri" w:hAnsi="Calibri"/>
          <w:color w:val="1F2937"/>
          <w:sz w:val="22"/>
        </w:rPr>
        <w:t xml:space="preserve">6 to 12 letters or digits; trivial, sequential and repeated PINs are rejected.</w:t>
      </w:r>
      <w:r>
        <w:rPr>
          <w:rFonts w:ascii="Calibri" w:hAnsi="Calibri"/>
          <w:i/>
          <w:color w:val="5C6470"/>
          <w:sz w:val="22"/>
        </w:rPr>
        <w:t xml:space="preserve"> / 6 đến 12 chữ cái hoặc chữ số; từ chối các mã PIN tầm thường, liên tiếp hoặc lặp lại.</w:t>
      </w:r>
    </w:p>
    <w:p>
      <w:pPr>
        <w:numPr>
          <w:ilvl w:val="0"/>
          <w:numId w:val="900"/>
        </w:numPr>
        <w:spacing w:before="20" w:after="40" w:line="300" w:lineRule="auto"/>
      </w:pPr>
      <w:r>
        <w:rPr>
          <w:rFonts w:ascii="Calibri" w:hAnsi="Calibri"/>
          <w:color w:val="1F2937"/>
          <w:sz w:val="22"/>
        </w:rPr>
        <w:t xml:space="preserve">A PIN matching the user’s phone, ID, birth date or similar personal data is rejected.</w:t>
      </w:r>
      <w:r>
        <w:rPr>
          <w:rFonts w:ascii="Calibri" w:hAnsi="Calibri"/>
          <w:i/>
          <w:color w:val="5C6470"/>
          <w:sz w:val="22"/>
        </w:rPr>
        <w:t xml:space="preserve"> / Từ chối mã PIN trùng số điện thoại, CCCD, ngày sinh hoặc dữ liệu cá nhân tương tự.</w:t>
      </w:r>
    </w:p>
    <w:p>
      <w:pPr>
        <w:numPr>
          <w:ilvl w:val="0"/>
          <w:numId w:val="900"/>
        </w:numPr>
        <w:spacing w:before="20" w:after="40" w:line="300" w:lineRule="auto"/>
      </w:pPr>
      <w:r>
        <w:rPr>
          <w:rFonts w:ascii="Calibri" w:hAnsi="Calibri"/>
          <w:color w:val="1F2937"/>
          <w:sz w:val="22"/>
        </w:rPr>
        <w:t xml:space="preserve">A new PIN may not repeat the current PIN.</w:t>
      </w:r>
      <w:r>
        <w:rPr>
          <w:rFonts w:ascii="Calibri" w:hAnsi="Calibri"/>
          <w:i/>
          <w:color w:val="5C6470"/>
          <w:sz w:val="22"/>
        </w:rPr>
        <w:t xml:space="preserve"> / Mã PIN mới không được trùng với mã PIN hiện tại.</w:t>
      </w:r>
    </w:p>
    <w:p>
      <w:pPr>
        <w:numPr>
          <w:ilvl w:val="0"/>
          <w:numId w:val="900"/>
        </w:numPr>
        <w:spacing w:before="20" w:after="40" w:line="300" w:lineRule="auto"/>
      </w:pPr>
      <w:r>
        <w:rPr>
          <w:rFonts w:ascii="Calibri" w:hAnsi="Calibri"/>
          <w:color w:val="1F2937"/>
          <w:sz w:val="22"/>
        </w:rPr>
        <w:t xml:space="preserve">PINs expire after 180 days and must then be changed.</w:t>
      </w:r>
      <w:r>
        <w:rPr>
          <w:rFonts w:ascii="Calibri" w:hAnsi="Calibri"/>
          <w:i/>
          <w:color w:val="5C6470"/>
          <w:sz w:val="22"/>
        </w:rPr>
        <w:t xml:space="preserve"> / Mã PIN hết hạn sau 180 ngày và phải được đổi.</w:t>
      </w:r>
    </w:p>
    <w:p>
      <w:pPr>
        <w:pBdr>
          <w:bottom w:val="single" w:sz="8" w:space="4" w:color="00B060"/>
        </w:pBdr>
        <w:spacing w:before="200" w:after="80"/>
      </w:pPr>
      <w:r>
        <w:rPr>
          <w:rFonts w:ascii="Calibri" w:hAnsi="Calibri"/>
          <w:b/>
          <w:color w:val="205090"/>
          <w:sz w:val="22"/>
          <w:spacing w:val="20"/>
        </w:rPr>
        <w:t xml:space="preserve">Change, loss &amp; de-authorisation</w:t>
      </w:r>
      <w:r>
        <w:rPr>
          <w:rFonts w:ascii="Calibri" w:hAnsi="Calibri"/>
          <w:i/>
          <w:color w:val="5C6470"/>
          <w:sz w:val="22"/>
        </w:rPr>
        <w:t xml:space="preserve"> / Đổi, mất &amp; thu hồi</w:t>
      </w:r>
    </w:p>
    <w:p>
      <w:pPr>
        <w:numPr>
          <w:ilvl w:val="0"/>
          <w:numId w:val="900"/>
        </w:numPr>
        <w:spacing w:before="20" w:after="40" w:line="300" w:lineRule="auto"/>
      </w:pPr>
      <w:r>
        <w:rPr>
          <w:rFonts w:ascii="Calibri" w:hAnsi="Calibri"/>
          <w:color w:val="1F2937"/>
          <w:sz w:val="22"/>
        </w:rPr>
        <w:t xml:space="preserve">Change — the owner changes their PIN by proving the current PIN or re-authenticating with Microsoft 365.</w:t>
      </w:r>
      <w:r>
        <w:rPr>
          <w:rFonts w:ascii="Calibri" w:hAnsi="Calibri"/>
          <w:i/>
          <w:color w:val="5C6470"/>
          <w:sz w:val="22"/>
        </w:rPr>
        <w:t xml:space="preserve"> / Đổi — chủ sở hữu đổi mã PIN bằng cách chứng minh mã hiện tại hoặc xác thực lại Microsoft 365.</w:t>
      </w:r>
    </w:p>
    <w:p>
      <w:pPr>
        <w:numPr>
          <w:ilvl w:val="0"/>
          <w:numId w:val="900"/>
        </w:numPr>
        <w:spacing w:before="20" w:after="40" w:line="300" w:lineRule="auto"/>
      </w:pPr>
      <w:r>
        <w:rPr>
          <w:rFonts w:ascii="Calibri" w:hAnsi="Calibri"/>
          <w:color w:val="1F2937"/>
          <w:sz w:val="22"/>
        </w:rPr>
        <w:t xml:space="preserve">Loss / reset — the owner sets a new PIN after a fresh Microsoft 365 re-authentication.</w:t>
      </w:r>
      <w:r>
        <w:rPr>
          <w:rFonts w:ascii="Calibri" w:hAnsi="Calibri"/>
          <w:i/>
          <w:color w:val="5C6470"/>
          <w:sz w:val="22"/>
        </w:rPr>
        <w:t xml:space="preserve"> / Mất / đặt lại — chủ sở hữu đặt mã PIN mới sau khi xác thực lại Microsoft 365.</w:t>
      </w:r>
    </w:p>
    <w:p>
      <w:pPr>
        <w:numPr>
          <w:ilvl w:val="0"/>
          <w:numId w:val="900"/>
        </w:numPr>
        <w:spacing w:before="20" w:after="40" w:line="300" w:lineRule="auto"/>
      </w:pPr>
      <w:r>
        <w:rPr>
          <w:rFonts w:ascii="Calibri" w:hAnsi="Calibri"/>
          <w:color w:val="1F2937"/>
          <w:sz w:val="22"/>
        </w:rPr>
        <w:t xml:space="preserve">De-authorisation — a manager can revoke a PIN; the owner must re-enrol before signing again. No one can read or set another person’s PIN.</w:t>
      </w:r>
      <w:r>
        <w:rPr>
          <w:rFonts w:ascii="Calibri" w:hAnsi="Calibri"/>
          <w:i/>
          <w:color w:val="5C6470"/>
          <w:sz w:val="22"/>
        </w:rPr>
        <w:t xml:space="preserve"> / Thu hồi — quản lý có thể thu hồi mã PIN; chủ sở hữu phải đăng ký lại trước khi ký. Không ai có thể đọc hoặc đặt mã PIN của người khác.</w:t>
      </w:r>
    </w:p>
    <w:p>
      <w:pPr>
        <w:pBdr>
          <w:bottom w:val="single" w:sz="8" w:space="4" w:color="00B060"/>
        </w:pBdr>
        <w:spacing w:before="200" w:after="80"/>
      </w:pPr>
      <w:r>
        <w:rPr>
          <w:rFonts w:ascii="Calibri" w:hAnsi="Calibri"/>
          <w:b/>
          <w:color w:val="205090"/>
          <w:sz w:val="22"/>
          <w:spacing w:val="20"/>
        </w:rPr>
        <w:t xml:space="preserve">Anti-abuse controls</w:t>
      </w:r>
      <w:r>
        <w:rPr>
          <w:rFonts w:ascii="Calibri" w:hAnsi="Calibri"/>
          <w:i/>
          <w:color w:val="5C6470"/>
          <w:sz w:val="22"/>
        </w:rPr>
        <w:t xml:space="preserve"> / Kiểm soát chống lạm dụng</w:t>
      </w:r>
    </w:p>
    <w:p>
      <w:pPr>
        <w:numPr>
          <w:ilvl w:val="0"/>
          <w:numId w:val="900"/>
        </w:numPr>
        <w:spacing w:before="20" w:after="40" w:line="300" w:lineRule="auto"/>
      </w:pPr>
      <w:r>
        <w:rPr>
          <w:rFonts w:ascii="Calibri" w:hAnsi="Calibri"/>
          <w:color w:val="1F2937"/>
          <w:sz w:val="22"/>
        </w:rPr>
        <w:t xml:space="preserve">The PIN is verified in constant time and stored only as a salted, memory-hard hash with an optional server-side pepper held outside the database.</w:t>
      </w:r>
      <w:r>
        <w:rPr>
          <w:rFonts w:ascii="Calibri" w:hAnsi="Calibri"/>
          <w:i/>
          <w:color w:val="5C6470"/>
          <w:sz w:val="22"/>
        </w:rPr>
        <w:t xml:space="preserve"> / Mã PIN được đối chiếu trong thời gian hằng định và chỉ lưu dưới dạng băm có muối, khó bẻ khóa, với 'pepper' phía máy chủ tùy chọn giữ ngoài cơ sở dữ liệu.</w:t>
      </w:r>
    </w:p>
    <w:p>
      <w:pPr>
        <w:numPr>
          <w:ilvl w:val="0"/>
          <w:numId w:val="900"/>
        </w:numPr>
        <w:spacing w:before="20" w:after="40" w:line="300" w:lineRule="auto"/>
      </w:pPr>
      <w:r>
        <w:rPr>
          <w:rFonts w:ascii="Calibri" w:hAnsi="Calibri"/>
          <w:color w:val="1F2937"/>
          <w:sz w:val="22"/>
        </w:rPr>
        <w:t xml:space="preserve">Five consecutive wrong PINs lock signing for 15 minutes; Microsoft 365 remains available.</w:t>
      </w:r>
      <w:r>
        <w:rPr>
          <w:rFonts w:ascii="Calibri" w:hAnsi="Calibri"/>
          <w:i/>
          <w:color w:val="5C6470"/>
          <w:sz w:val="22"/>
        </w:rPr>
        <w:t xml:space="preserve"> / Năm lần nhập sai liên tiếp sẽ khóa việc ký trong 15 phút; vẫn có thể ký bằng Microsoft 365.</w:t>
      </w:r>
    </w:p>
    <w:p>
      <w:pPr>
        <w:numPr>
          <w:ilvl w:val="0"/>
          <w:numId w:val="900"/>
        </w:numPr>
        <w:spacing w:before="20" w:after="40" w:line="300" w:lineRule="auto"/>
      </w:pPr>
      <w:r>
        <w:rPr>
          <w:rFonts w:ascii="Calibri" w:hAnsi="Calibri"/>
          <w:color w:val="1F2937"/>
          <w:sz w:val="22"/>
        </w:rPr>
        <w:t xml:space="preserve">Every failed attempt and every lockout is written to the audit trail.</w:t>
      </w:r>
      <w:r>
        <w:rPr>
          <w:rFonts w:ascii="Calibri" w:hAnsi="Calibri"/>
          <w:i/>
          <w:color w:val="5C6470"/>
          <w:sz w:val="22"/>
        </w:rPr>
        <w:t xml:space="preserve"> / Mọi lần thử sai và mọi lần khóa đều được ghi vào nhật ký kiểm toán.</w:t>
      </w:r>
    </w:p>
    <w:p>
      <w:pPr>
        <w:spacing w:before="240" w:after="0"/>
      </w:pPr>
    </w:p>
    <w:tbl>
      <w:tblPr>
        <w:tblW w:w="9349" w:type="dxa"/>
        <w:tblBorders>
          <w:top w:val="nil"/>
          <w:left w:val="nil"/>
          <w:bottom w:val="nil"/>
          <w:right w:val="nil"/>
          <w:insideH w:val="nil"/>
          <w:insideV w:val="nil"/>
        </w:tblBorders>
        <w:tblLayout w:type="fixed"/>
      </w:tblPr>
      <w:tblGrid>
        <w:gridCol w:w="1500"/>
        <w:gridCol w:w="7849"/>
      </w:tblGrid>
      <w:tr>
        <w:trPr>
          <w:trHeight w:val="1100"/>
        </w:trPr>
        <w:tc>
          <w:tcPr>
            <w:tcW w:w="1500" w:type="dxa"/>
            <w:vAlign w:val="center"/>
            <w:tcBorders>
              <w:top w:val="nil"/>
              <w:left w:val="nil"/>
              <w:bottom w:val="nil"/>
              <w:right w:val="nil"/>
            </w:tcBorders>
          </w:tcPr>
          <w:p>
            <w:pPr>
              <w:spacing w:before="0" w:after="0"/>
            </w:pPr>
            <w:r>
              <w:rPr>
                <w:rFonts w:ascii="Calibri" w:hAnsi="Calibri"/>
                <w:b/>
                <w:color w:val="B5C8E5"/>
                <w:sz w:val="96"/>
              </w:rPr>
              <w:t xml:space="preserve">09</w:t>
            </w:r>
          </w:p>
        </w:tc>
        <w:tc>
          <w:tcPr>
            <w:tcW w:w="7849" w:type="dxa"/>
            <w:vAlign w:val="center"/>
            <w:tcBorders>
              <w:top w:val="nil"/>
              <w:left w:val="nil"/>
              <w:bottom w:val="nil"/>
              <w:right w:val="nil"/>
            </w:tcBorders>
          </w:tcPr>
          <w:p>
            <w:pPr>
              <w:spacing w:before="0" w:after="0"/>
            </w:pPr>
            <w:r>
              <w:rPr>
                <w:rFonts w:ascii="Calibri" w:hAnsi="Calibri"/>
                <w:b/>
                <w:color w:val="205090"/>
                <w:sz w:val="44"/>
              </w:rPr>
              <w:t xml:space="preserve">System Access &amp; Security Controls</w:t>
            </w:r>
          </w:p>
          <w:p>
            <w:pPr>
              <w:spacing w:before="0" w:after="0"/>
            </w:pPr>
            <w:r>
              <w:rPr>
                <w:rFonts w:ascii="Calibri" w:hAnsi="Calibri"/>
                <w:i/>
                <w:color w:val="5C6470"/>
                <w:sz w:val="20"/>
              </w:rPr>
              <w:t xml:space="preserve">Kiểm soát truy cập &amp; Bảo mật hệ thống</w:t>
            </w:r>
          </w:p>
        </w:tc>
      </w:tr>
    </w:tbl>
    <w:p>
      <w:pPr>
        <w:pBdr>
          <w:bottom w:val="single" w:sz="18" w:space="1" w:color="00B060"/>
        </w:pBdr>
        <w:tabs>
          <w:tab w:val="left" w:pos="2268"/>
        </w:tabs>
        <w:spacing w:before="60" w:after="240"/>
      </w:pPr>
      <w:r>
        <w:rPr>
          <w:sz w:val="8"/>
        </w:rPr>
        <w:tab/>
      </w:r>
    </w:p>
    <w:p>
      <w:pPr>
        <w:numPr>
          <w:ilvl w:val="0"/>
          <w:numId w:val="900"/>
        </w:numPr>
        <w:spacing w:before="20" w:after="40" w:line="300" w:lineRule="auto"/>
      </w:pPr>
      <w:r>
        <w:rPr>
          <w:rFonts w:ascii="Calibri" w:hAnsi="Calibri"/>
          <w:color w:val="1F2937"/>
          <w:sz w:val="22"/>
        </w:rPr>
        <w:t xml:space="preserve">Access is limited to authorised individuals via Microsoft 365 single sign-on; each request is bound to a server-side session identity.</w:t>
      </w:r>
      <w:r>
        <w:rPr>
          <w:rFonts w:ascii="Calibri" w:hAnsi="Calibri"/>
          <w:i/>
          <w:color w:val="5C6470"/>
          <w:sz w:val="22"/>
        </w:rPr>
        <w:t xml:space="preserve"> / Truy cập chỉ dành cho cá nhân được ủy quyền qua đăng nhập một lần Microsoft 365; mỗi yêu cầu gắn với danh tính phiên phía máy chủ.</w:t>
      </w:r>
    </w:p>
    <w:p>
      <w:pPr>
        <w:numPr>
          <w:ilvl w:val="0"/>
          <w:numId w:val="900"/>
        </w:numPr>
        <w:spacing w:before="20" w:after="40" w:line="300" w:lineRule="auto"/>
      </w:pPr>
      <w:r>
        <w:rPr>
          <w:rFonts w:ascii="Calibri" w:hAnsi="Calibri"/>
          <w:color w:val="1F2937"/>
          <w:sz w:val="22"/>
        </w:rPr>
        <w:t xml:space="preserve">Role-based authority: users act on their own records; approve / reject / mark-paid are restricted to managers.</w:t>
      </w:r>
      <w:r>
        <w:rPr>
          <w:rFonts w:ascii="Calibri" w:hAnsi="Calibri"/>
          <w:i/>
          <w:color w:val="5C6470"/>
          <w:sz w:val="22"/>
        </w:rPr>
        <w:t xml:space="preserve"> / Phân quyền theo vai trò: người dùng thao tác trên hồ sơ của mình; phê duyệt / từ chối / đánh dấu đã trả chỉ dành cho quản lý.</w:t>
      </w:r>
    </w:p>
    <w:p>
      <w:pPr>
        <w:numPr>
          <w:ilvl w:val="0"/>
          <w:numId w:val="900"/>
        </w:numPr>
        <w:spacing w:before="20" w:after="40" w:line="300" w:lineRule="auto"/>
      </w:pPr>
      <w:r>
        <w:rPr>
          <w:rFonts w:ascii="Calibri" w:hAnsi="Calibri"/>
          <w:color w:val="1F2937"/>
          <w:sz w:val="22"/>
        </w:rPr>
        <w:t xml:space="preserve">Idle sessions end automatically after 45 minutes, requiring re-establishment of the identity component.</w:t>
      </w:r>
      <w:r>
        <w:rPr>
          <w:rFonts w:ascii="Calibri" w:hAnsi="Calibri"/>
          <w:i/>
          <w:color w:val="5C6470"/>
          <w:sz w:val="22"/>
        </w:rPr>
        <w:t xml:space="preserve"> / Phiên không hoạt động tự kết thúc sau 45 phút, yêu cầu thiết lập lại thành phần danh tính.</w:t>
      </w:r>
    </w:p>
    <w:p>
      <w:pPr>
        <w:numPr>
          <w:ilvl w:val="0"/>
          <w:numId w:val="900"/>
        </w:numPr>
        <w:spacing w:before="20" w:after="40" w:line="300" w:lineRule="auto"/>
      </w:pPr>
      <w:r>
        <w:rPr>
          <w:rFonts w:ascii="Calibri" w:hAnsi="Calibri"/>
          <w:color w:val="1F2937"/>
          <w:sz w:val="22"/>
        </w:rPr>
        <w:t xml:space="preserve">All traffic is served over HTTPS; the database is on a persistent, backed-up volume.</w:t>
      </w:r>
      <w:r>
        <w:rPr>
          <w:rFonts w:ascii="Calibri" w:hAnsi="Calibri"/>
          <w:i/>
          <w:color w:val="5C6470"/>
          <w:sz w:val="22"/>
        </w:rPr>
        <w:t xml:space="preserve"> / Toàn bộ lưu lượng qua HTTPS; cơ sở dữ liệu nằm trên ổ đĩa bền vững, được sao lưu.</w:t>
      </w:r>
    </w:p>
    <w:p>
      <w:pPr>
        <w:spacing w:before="240" w:after="0"/>
      </w:pPr>
    </w:p>
    <w:tbl>
      <w:tblPr>
        <w:tblW w:w="9349" w:type="dxa"/>
        <w:tblBorders>
          <w:top w:val="nil"/>
          <w:left w:val="nil"/>
          <w:bottom w:val="nil"/>
          <w:right w:val="nil"/>
          <w:insideH w:val="nil"/>
          <w:insideV w:val="nil"/>
        </w:tblBorders>
        <w:tblLayout w:type="fixed"/>
      </w:tblPr>
      <w:tblGrid>
        <w:gridCol w:w="1500"/>
        <w:gridCol w:w="7849"/>
      </w:tblGrid>
      <w:tr>
        <w:trPr>
          <w:trHeight w:val="1100"/>
        </w:trPr>
        <w:tc>
          <w:tcPr>
            <w:tcW w:w="1500" w:type="dxa"/>
            <w:vAlign w:val="center"/>
            <w:tcBorders>
              <w:top w:val="nil"/>
              <w:left w:val="nil"/>
              <w:bottom w:val="nil"/>
              <w:right w:val="nil"/>
            </w:tcBorders>
          </w:tcPr>
          <w:p>
            <w:pPr>
              <w:spacing w:before="0" w:after="0"/>
            </w:pPr>
            <w:r>
              <w:rPr>
                <w:rFonts w:ascii="Calibri" w:hAnsi="Calibri"/>
                <w:b/>
                <w:color w:val="B5C8E5"/>
                <w:sz w:val="96"/>
              </w:rPr>
              <w:t xml:space="preserve">10</w:t>
            </w:r>
          </w:p>
        </w:tc>
        <w:tc>
          <w:tcPr>
            <w:tcW w:w="7849" w:type="dxa"/>
            <w:vAlign w:val="center"/>
            <w:tcBorders>
              <w:top w:val="nil"/>
              <w:left w:val="nil"/>
              <w:bottom w:val="nil"/>
              <w:right w:val="nil"/>
            </w:tcBorders>
          </w:tcPr>
          <w:p>
            <w:pPr>
              <w:spacing w:before="0" w:after="0"/>
            </w:pPr>
            <w:r>
              <w:rPr>
                <w:rFonts w:ascii="Calibri" w:hAnsi="Calibri"/>
                <w:b/>
                <w:color w:val="205090"/>
                <w:sz w:val="44"/>
              </w:rPr>
              <w:t xml:space="preserve">Audit Trail</w:t>
            </w:r>
          </w:p>
          <w:p>
            <w:pPr>
              <w:spacing w:before="0" w:after="0"/>
            </w:pPr>
            <w:r>
              <w:rPr>
                <w:rFonts w:ascii="Calibri" w:hAnsi="Calibri"/>
                <w:i/>
                <w:color w:val="5C6470"/>
                <w:sz w:val="20"/>
              </w:rPr>
              <w:t xml:space="preserve">Nhật ký kiểm toán</w:t>
            </w:r>
          </w:p>
        </w:tc>
      </w:tr>
    </w:tbl>
    <w:p>
      <w:pPr>
        <w:pBdr>
          <w:bottom w:val="single" w:sz="18" w:space="1" w:color="00B060"/>
        </w:pBdr>
        <w:tabs>
          <w:tab w:val="left" w:pos="2268"/>
        </w:tabs>
        <w:spacing w:before="60" w:after="240"/>
      </w:pPr>
      <w:r>
        <w:rPr>
          <w:sz w:val="8"/>
        </w:rPr>
        <w:tab/>
      </w:r>
    </w:p>
    <w:p>
      <w:pPr>
        <w:spacing w:before="60" w:after="80" w:line="320" w:lineRule="auto"/>
        <w:jc w:val="both"/>
      </w:pPr>
      <w:r>
        <w:rPr>
          <w:rFonts w:ascii="Calibri" w:hAnsi="Calibri"/>
          <w:color w:val="1F2937"/>
          <w:sz w:val="22"/>
        </w:rPr>
        <w:t xml:space="preserve">The portal keeps a secure, computer-generated, time-stamped (UTC) audit trail that records the actor, action, target record and meaning for every signing and for every PIN lifecycle event — enrolment, change, reset, revoke, failed attempt and lockout. Audit entries are append-only: there is no interface to edit or delete them, and they never contain a PIN or its hash (21 CFR 11.10(e)).</w:t>
      </w:r>
    </w:p>
    <w:p>
      <w:pPr>
        <w:spacing w:before="0" w:after="120" w:line="320" w:lineRule="auto"/>
        <w:jc w:val="both"/>
      </w:pPr>
      <w:r>
        <w:rPr>
          <w:rFonts w:ascii="Calibri" w:hAnsi="Calibri"/>
          <w:i/>
          <w:color w:val="5C6470"/>
          <w:sz w:val="22"/>
        </w:rPr>
        <w:t xml:space="preserve">Cổng thông tin duy trì nhật ký kiểm toán an toàn, do máy tạo, gắn nhãn thời gian (UTC), ghi lại người thực hiện, hành động, hồ sơ đối tượng và ý nghĩa cho mỗi lần ký và mỗi sự kiện vòng đời mã PIN — đăng ký, đổi, đặt lại, thu hồi, thử sai và khóa. Các mục kiểm toán chỉ được thêm mới: không có giao diện để sửa hay xóa, và không bao giờ chứa mã PIN hoặc giá trị băm của nó (21 CFR 11.10(e)).</w:t>
      </w:r>
    </w:p>
    <w:p>
      <w:pPr>
        <w:spacing w:before="240" w:after="0"/>
      </w:pPr>
    </w:p>
    <w:tbl>
      <w:tblPr>
        <w:tblW w:w="9349" w:type="dxa"/>
        <w:tblBorders>
          <w:top w:val="nil"/>
          <w:left w:val="nil"/>
          <w:bottom w:val="nil"/>
          <w:right w:val="nil"/>
          <w:insideH w:val="nil"/>
          <w:insideV w:val="nil"/>
        </w:tblBorders>
        <w:tblLayout w:type="fixed"/>
      </w:tblPr>
      <w:tblGrid>
        <w:gridCol w:w="1500"/>
        <w:gridCol w:w="7849"/>
      </w:tblGrid>
      <w:tr>
        <w:trPr>
          <w:trHeight w:val="1100"/>
        </w:trPr>
        <w:tc>
          <w:tcPr>
            <w:tcW w:w="1500" w:type="dxa"/>
            <w:vAlign w:val="center"/>
            <w:tcBorders>
              <w:top w:val="nil"/>
              <w:left w:val="nil"/>
              <w:bottom w:val="nil"/>
              <w:right w:val="nil"/>
            </w:tcBorders>
          </w:tcPr>
          <w:p>
            <w:pPr>
              <w:spacing w:before="0" w:after="0"/>
            </w:pPr>
            <w:r>
              <w:rPr>
                <w:rFonts w:ascii="Calibri" w:hAnsi="Calibri"/>
                <w:b/>
                <w:color w:val="B5C8E5"/>
                <w:sz w:val="96"/>
              </w:rPr>
              <w:t xml:space="preserve">11</w:t>
            </w:r>
          </w:p>
        </w:tc>
        <w:tc>
          <w:tcPr>
            <w:tcW w:w="7849" w:type="dxa"/>
            <w:vAlign w:val="center"/>
            <w:tcBorders>
              <w:top w:val="nil"/>
              <w:left w:val="nil"/>
              <w:bottom w:val="nil"/>
              <w:right w:val="nil"/>
            </w:tcBorders>
          </w:tcPr>
          <w:p>
            <w:pPr>
              <w:spacing w:before="0" w:after="0"/>
            </w:pPr>
            <w:r>
              <w:rPr>
                <w:rFonts w:ascii="Calibri" w:hAnsi="Calibri"/>
                <w:b/>
                <w:color w:val="205090"/>
                <w:sz w:val="44"/>
              </w:rPr>
              <w:t xml:space="preserve">21 CFR Part 11 Compliance Matrix</w:t>
            </w:r>
          </w:p>
          <w:p>
            <w:pPr>
              <w:spacing w:before="0" w:after="0"/>
            </w:pPr>
            <w:r>
              <w:rPr>
                <w:rFonts w:ascii="Calibri" w:hAnsi="Calibri"/>
                <w:i/>
                <w:color w:val="5C6470"/>
                <w:sz w:val="20"/>
              </w:rPr>
              <w:t xml:space="preserve">Ma trận tuân thủ 21 CFR Part 11</w:t>
            </w:r>
          </w:p>
        </w:tc>
      </w:tr>
    </w:tbl>
    <w:p>
      <w:pPr>
        <w:pBdr>
          <w:bottom w:val="single" w:sz="18" w:space="1" w:color="00B060"/>
        </w:pBdr>
        <w:tabs>
          <w:tab w:val="left" w:pos="2268"/>
        </w:tabs>
        <w:spacing w:before="60" w:after="240"/>
      </w:pPr>
      <w:r>
        <w:rPr>
          <w:sz w:val="8"/>
        </w:rPr>
        <w:tab/>
      </w:r>
    </w:p>
    <w:p>
      <w:pPr>
        <w:spacing w:before="60" w:after="80" w:line="320" w:lineRule="auto"/>
        <w:jc w:val="both"/>
      </w:pPr>
      <w:r>
        <w:rPr>
          <w:rFonts w:ascii="Calibri" w:hAnsi="Calibri"/>
          <w:color w:val="1F2937"/>
          <w:sz w:val="22"/>
        </w:rPr>
        <w:t xml:space="preserve">The controls above satisfy the applicable clauses of 21 CFR Part 11 as follows.</w:t>
      </w:r>
    </w:p>
    <w:p>
      <w:pPr>
        <w:spacing w:before="0" w:after="120" w:line="320" w:lineRule="auto"/>
        <w:jc w:val="both"/>
      </w:pPr>
      <w:r>
        <w:rPr>
          <w:rFonts w:ascii="Calibri" w:hAnsi="Calibri"/>
          <w:i/>
          <w:color w:val="5C6470"/>
          <w:sz w:val="22"/>
        </w:rPr>
        <w:t xml:space="preserve">Các biện pháp kiểm soát nêu trên đáp ứng các điều khoản áp dụng của 21 CFR Part 11 như sau.</w:t>
      </w:r>
    </w:p>
    <w:p>
      <w:pPr>
        <w:spacing w:before="40" w:after="40"/>
      </w:pPr>
    </w:p>
    <w:tbl>
      <w:tblPr>
        <w:tblW w:w="9349" w:type="dxa"/>
        <w:tblBorders>
          <w:top w:val="nil"/>
          <w:left w:val="nil"/>
          <w:bottom w:val="nil"/>
          <w:right w:val="nil"/>
          <w:insideH w:val="nil"/>
          <w:insideV w:val="nil"/>
        </w:tblBorders>
        <w:tblLayout w:type="fixed"/>
      </w:tblPr>
      <w:tblGrid>
        <w:gridCol w:w="1200"/>
        <w:gridCol w:w="3000"/>
        <w:gridCol w:w="5149"/>
      </w:tblGrid>
      <w:tr>
        <w:trPr>
          <w:trHeight w:val="420"/>
        </w:trPr>
        <w:tc>
          <w:tcPr>
            <w:tcW w:w="1200" w:type="dxa"/>
            <w:tcBorders>
              <w:top w:val="single" w:sz="2" w:color="FFFFFF"/>
              <w:left w:val="single" w:sz="2" w:color="FFFFFF"/>
              <w:bottom w:val="single" w:sz="2" w:color="FFFFFF"/>
              <w:right w:val="single" w:sz="2" w:color="FFFFFF"/>
            </w:tcBorders>
            <w:shd w:val="clear" w:color="auto" w:fill="205090"/>
            <w:tcMar>
              <w:top w:w="100" w:type="dxa"/>
              <w:bottom w:w="100" w:type="dxa"/>
              <w:left w:w="180" w:type="dxa"/>
              <w:right w:w="180" w:type="dxa"/>
            </w:tcMar>
            <w:vAlign w:val="center"/>
          </w:tcPr>
          <w:p>
            <w:pPr>
              <w:spacing w:before="0" w:after="0"/>
            </w:pPr>
            <w:r>
              <w:rPr>
                <w:rFonts w:ascii="Calibri" w:hAnsi="Calibri"/>
                <w:b/>
                <w:color w:val="FFFFFF"/>
                <w:sz w:val="22"/>
              </w:rPr>
              <w:t xml:space="preserve">Clause</w:t>
            </w:r>
          </w:p>
        </w:tc>
        <w:tc>
          <w:tcPr>
            <w:tcW w:w="3000" w:type="dxa"/>
            <w:tcBorders>
              <w:top w:val="single" w:sz="2" w:color="FFFFFF"/>
              <w:left w:val="single" w:sz="2" w:color="FFFFFF"/>
              <w:bottom w:val="single" w:sz="2" w:color="FFFFFF"/>
              <w:right w:val="single" w:sz="2" w:color="FFFFFF"/>
            </w:tcBorders>
            <w:shd w:val="clear" w:color="auto" w:fill="205090"/>
            <w:tcMar>
              <w:top w:w="100" w:type="dxa"/>
              <w:bottom w:w="100" w:type="dxa"/>
              <w:left w:w="180" w:type="dxa"/>
              <w:right w:w="180" w:type="dxa"/>
            </w:tcMar>
            <w:vAlign w:val="center"/>
          </w:tcPr>
          <w:p>
            <w:pPr>
              <w:spacing w:before="0" w:after="0"/>
            </w:pPr>
            <w:r>
              <w:rPr>
                <w:rFonts w:ascii="Calibri" w:hAnsi="Calibri"/>
                <w:b/>
                <w:color w:val="FFFFFF"/>
                <w:sz w:val="22"/>
              </w:rPr>
              <w:t xml:space="preserve">Requirement</w:t>
            </w:r>
          </w:p>
        </w:tc>
        <w:tc>
          <w:tcPr>
            <w:tcW w:w="5149" w:type="dxa"/>
            <w:tcBorders>
              <w:top w:val="single" w:sz="2" w:color="FFFFFF"/>
              <w:left w:val="single" w:sz="2" w:color="FFFFFF"/>
              <w:bottom w:val="single" w:sz="2" w:color="FFFFFF"/>
              <w:right w:val="single" w:sz="2" w:color="FFFFFF"/>
            </w:tcBorders>
            <w:shd w:val="clear" w:color="auto" w:fill="205090"/>
            <w:tcMar>
              <w:top w:w="100" w:type="dxa"/>
              <w:bottom w:w="100" w:type="dxa"/>
              <w:left w:w="180" w:type="dxa"/>
              <w:right w:w="180" w:type="dxa"/>
            </w:tcMar>
            <w:vAlign w:val="center"/>
          </w:tcPr>
          <w:p>
            <w:pPr>
              <w:spacing w:before="0" w:after="0"/>
            </w:pPr>
            <w:r>
              <w:rPr>
                <w:rFonts w:ascii="Calibri" w:hAnsi="Calibri"/>
                <w:b/>
                <w:color w:val="FFFFFF"/>
                <w:sz w:val="22"/>
              </w:rPr>
              <w:t xml:space="preserve">Implemented control</w:t>
            </w:r>
          </w:p>
        </w:tc>
      </w:tr>
      <w:tr>
        <w:trPr>
          <w:trHeight w:val="360"/>
        </w:trPr>
        <w:tc>
          <w:tcPr>
            <w:tcW w:w="1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11.10(a)</w:t>
            </w:r>
          </w:p>
        </w:tc>
        <w:tc>
          <w:tcPr>
            <w:tcW w:w="30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Validation</w:t>
            </w:r>
          </w:p>
        </w:tc>
        <w:tc>
          <w:tcPr>
            <w:tcW w:w="51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System validated; controls verified by test and adversarial security review.</w:t>
            </w:r>
          </w:p>
        </w:tc>
      </w:tr>
      <w:tr>
        <w:trPr>
          <w:trHeight w:val="360"/>
        </w:trPr>
        <w:tc>
          <w:tcPr>
            <w:tcW w:w="1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11.10(b)</w:t>
            </w:r>
          </w:p>
        </w:tc>
        <w:tc>
          <w:tcPr>
            <w:tcW w:w="30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Accurate copies</w:t>
            </w:r>
          </w:p>
        </w:tc>
        <w:tc>
          <w:tcPr>
            <w:tcW w:w="51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Records viewable on-screen and exported to PDF on the Humiley letterhead.</w:t>
            </w:r>
          </w:p>
        </w:tc>
      </w:tr>
      <w:tr>
        <w:trPr>
          <w:trHeight w:val="360"/>
        </w:trPr>
        <w:tc>
          <w:tcPr>
            <w:tcW w:w="1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11.10(c)</w:t>
            </w:r>
          </w:p>
        </w:tc>
        <w:tc>
          <w:tcPr>
            <w:tcW w:w="30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Record protection</w:t>
            </w:r>
          </w:p>
        </w:tc>
        <w:tc>
          <w:tcPr>
            <w:tcW w:w="51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SQLite on a persistent volume with scheduled, retained backups.</w:t>
            </w:r>
          </w:p>
        </w:tc>
      </w:tr>
      <w:tr>
        <w:trPr>
          <w:trHeight w:val="360"/>
        </w:trPr>
        <w:tc>
          <w:tcPr>
            <w:tcW w:w="1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11.10(d)</w:t>
            </w:r>
          </w:p>
        </w:tc>
        <w:tc>
          <w:tcPr>
            <w:tcW w:w="30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Access limited</w:t>
            </w:r>
          </w:p>
        </w:tc>
        <w:tc>
          <w:tcPr>
            <w:tcW w:w="51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Microsoft 365 SSO; server-side session; role-based authority.</w:t>
            </w:r>
          </w:p>
        </w:tc>
      </w:tr>
      <w:tr>
        <w:trPr>
          <w:trHeight w:val="360"/>
        </w:trPr>
        <w:tc>
          <w:tcPr>
            <w:tcW w:w="1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11.10(e)</w:t>
            </w:r>
          </w:p>
        </w:tc>
        <w:tc>
          <w:tcPr>
            <w:tcW w:w="30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Audit trail</w:t>
            </w:r>
          </w:p>
        </w:tc>
        <w:tc>
          <w:tcPr>
            <w:tcW w:w="51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Append-only, UTC-stamped log of signings and PIN events; no edit/delete.</w:t>
            </w:r>
          </w:p>
        </w:tc>
      </w:tr>
      <w:tr>
        <w:trPr>
          <w:trHeight w:val="360"/>
        </w:trPr>
        <w:tc>
          <w:tcPr>
            <w:tcW w:w="1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11.10(g)</w:t>
            </w:r>
          </w:p>
        </w:tc>
        <w:tc>
          <w:tcPr>
            <w:tcW w:w="30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Authority checks</w:t>
            </w:r>
          </w:p>
        </w:tc>
        <w:tc>
          <w:tcPr>
            <w:tcW w:w="51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Approvals restricted to managers; users act only on their own records.</w:t>
            </w:r>
          </w:p>
        </w:tc>
      </w:tr>
      <w:tr>
        <w:trPr>
          <w:trHeight w:val="360"/>
        </w:trPr>
        <w:tc>
          <w:tcPr>
            <w:tcW w:w="1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11.10(j)</w:t>
            </w:r>
          </w:p>
        </w:tc>
        <w:tc>
          <w:tcPr>
            <w:tcW w:w="30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Accountability policy</w:t>
            </w:r>
          </w:p>
        </w:tc>
        <w:tc>
          <w:tcPr>
            <w:tcW w:w="51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Certification statement accepted at each signing; this SOP.</w:t>
            </w:r>
          </w:p>
        </w:tc>
      </w:tr>
      <w:tr>
        <w:trPr>
          <w:trHeight w:val="360"/>
        </w:trPr>
        <w:tc>
          <w:tcPr>
            <w:tcW w:w="1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11.50</w:t>
            </w:r>
          </w:p>
        </w:tc>
        <w:tc>
          <w:tcPr>
            <w:tcW w:w="30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Signature manifestation</w:t>
            </w:r>
          </w:p>
        </w:tc>
        <w:tc>
          <w:tcPr>
            <w:tcW w:w="51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Name, UTC time, meaning and method stamped and displayed.</w:t>
            </w:r>
          </w:p>
        </w:tc>
      </w:tr>
      <w:tr>
        <w:trPr>
          <w:trHeight w:val="360"/>
        </w:trPr>
        <w:tc>
          <w:tcPr>
            <w:tcW w:w="1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11.70</w:t>
            </w:r>
          </w:p>
        </w:tc>
        <w:tc>
          <w:tcPr>
            <w:tcW w:w="30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Signature-record link</w:t>
            </w:r>
          </w:p>
        </w:tc>
        <w:tc>
          <w:tcPr>
            <w:tcW w:w="51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Signature stored on the record; retained and exported with it.</w:t>
            </w:r>
          </w:p>
        </w:tc>
      </w:tr>
      <w:tr>
        <w:trPr>
          <w:trHeight w:val="360"/>
        </w:trPr>
        <w:tc>
          <w:tcPr>
            <w:tcW w:w="1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11.100(b)</w:t>
            </w:r>
          </w:p>
        </w:tc>
        <w:tc>
          <w:tcPr>
            <w:tcW w:w="30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Identity verified</w:t>
            </w:r>
          </w:p>
        </w:tc>
        <w:tc>
          <w:tcPr>
            <w:tcW w:w="51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PIN enrolment bound to a fresh, verified Microsoft 365 identity.</w:t>
            </w:r>
          </w:p>
        </w:tc>
      </w:tr>
      <w:tr>
        <w:trPr>
          <w:trHeight w:val="360"/>
        </w:trPr>
        <w:tc>
          <w:tcPr>
            <w:tcW w:w="1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11.200(a)</w:t>
            </w:r>
          </w:p>
        </w:tc>
        <w:tc>
          <w:tcPr>
            <w:tcW w:w="30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Two components</w:t>
            </w:r>
          </w:p>
        </w:tc>
        <w:tc>
          <w:tcPr>
            <w:tcW w:w="51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Authenticated session identity + fresh M365 re-auth or secret PIN.</w:t>
            </w:r>
          </w:p>
        </w:tc>
      </w:tr>
      <w:tr>
        <w:trPr>
          <w:trHeight w:val="360"/>
        </w:trPr>
        <w:tc>
          <w:tcPr>
            <w:tcW w:w="1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11.300(a)</w:t>
            </w:r>
          </w:p>
        </w:tc>
        <w:tc>
          <w:tcPr>
            <w:tcW w:w="30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Uniqueness</w:t>
            </w:r>
          </w:p>
        </w:tc>
        <w:tc>
          <w:tcPr>
            <w:tcW w:w="51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Signed combination = unique employee ID + PIN.</w:t>
            </w:r>
          </w:p>
        </w:tc>
      </w:tr>
      <w:tr>
        <w:trPr>
          <w:trHeight w:val="360"/>
        </w:trPr>
        <w:tc>
          <w:tcPr>
            <w:tcW w:w="1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11.300(b)</w:t>
            </w:r>
          </w:p>
        </w:tc>
        <w:tc>
          <w:tcPr>
            <w:tcW w:w="30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Aging &amp; change</w:t>
            </w:r>
          </w:p>
        </w:tc>
        <w:tc>
          <w:tcPr>
            <w:tcW w:w="51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180-day PIN expiry; self-service change.</w:t>
            </w:r>
          </w:p>
        </w:tc>
      </w:tr>
      <w:tr>
        <w:trPr>
          <w:trHeight w:val="360"/>
        </w:trPr>
        <w:tc>
          <w:tcPr>
            <w:tcW w:w="1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11.300(c)</w:t>
            </w:r>
          </w:p>
        </w:tc>
        <w:tc>
          <w:tcPr>
            <w:tcW w:w="30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Loss management</w:t>
            </w:r>
          </w:p>
        </w:tc>
        <w:tc>
          <w:tcPr>
            <w:tcW w:w="51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Self reset and manager de-authorisation; reissue re-enrols.</w:t>
            </w:r>
          </w:p>
        </w:tc>
      </w:tr>
      <w:tr>
        <w:trPr>
          <w:trHeight w:val="360"/>
        </w:trPr>
        <w:tc>
          <w:tcPr>
            <w:tcW w:w="1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11.300(d)</w:t>
            </w:r>
          </w:p>
        </w:tc>
        <w:tc>
          <w:tcPr>
            <w:tcW w:w="30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Unauthorised-use safeguards</w:t>
            </w:r>
          </w:p>
        </w:tc>
        <w:tc>
          <w:tcPr>
            <w:tcW w:w="51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Constant-time check, generic error, 5-fail lockout, audited attempts.</w:t>
            </w:r>
          </w:p>
        </w:tc>
      </w:tr>
    </w:tbl>
    <w:p>
      <w:pPr>
        <w:spacing w:before="240" w:after="0"/>
      </w:pPr>
    </w:p>
    <w:tbl>
      <w:tblPr>
        <w:tblW w:w="9349" w:type="dxa"/>
        <w:tblBorders>
          <w:top w:val="nil"/>
          <w:left w:val="nil"/>
          <w:bottom w:val="nil"/>
          <w:right w:val="nil"/>
          <w:insideH w:val="nil"/>
          <w:insideV w:val="nil"/>
        </w:tblBorders>
        <w:tblLayout w:type="fixed"/>
      </w:tblPr>
      <w:tblGrid>
        <w:gridCol w:w="1500"/>
        <w:gridCol w:w="7849"/>
      </w:tblGrid>
      <w:tr>
        <w:trPr>
          <w:trHeight w:val="1100"/>
        </w:trPr>
        <w:tc>
          <w:tcPr>
            <w:tcW w:w="1500" w:type="dxa"/>
            <w:vAlign w:val="center"/>
            <w:tcBorders>
              <w:top w:val="nil"/>
              <w:left w:val="nil"/>
              <w:bottom w:val="nil"/>
              <w:right w:val="nil"/>
            </w:tcBorders>
          </w:tcPr>
          <w:p>
            <w:pPr>
              <w:spacing w:before="0" w:after="0"/>
            </w:pPr>
            <w:r>
              <w:rPr>
                <w:rFonts w:ascii="Calibri" w:hAnsi="Calibri"/>
                <w:b/>
                <w:color w:val="B5C8E5"/>
                <w:sz w:val="96"/>
              </w:rPr>
              <w:t xml:space="preserve">12</w:t>
            </w:r>
          </w:p>
        </w:tc>
        <w:tc>
          <w:tcPr>
            <w:tcW w:w="7849" w:type="dxa"/>
            <w:vAlign w:val="center"/>
            <w:tcBorders>
              <w:top w:val="nil"/>
              <w:left w:val="nil"/>
              <w:bottom w:val="nil"/>
              <w:right w:val="nil"/>
            </w:tcBorders>
          </w:tcPr>
          <w:p>
            <w:pPr>
              <w:spacing w:before="0" w:after="0"/>
            </w:pPr>
            <w:r>
              <w:rPr>
                <w:rFonts w:ascii="Calibri" w:hAnsi="Calibri"/>
                <w:b/>
                <w:color w:val="205090"/>
                <w:sz w:val="44"/>
              </w:rPr>
              <w:t xml:space="preserve">Records, Retention &amp; References</w:t>
            </w:r>
          </w:p>
          <w:p>
            <w:pPr>
              <w:spacing w:before="0" w:after="0"/>
            </w:pPr>
            <w:r>
              <w:rPr>
                <w:rFonts w:ascii="Calibri" w:hAnsi="Calibri"/>
                <w:i/>
                <w:color w:val="5C6470"/>
                <w:sz w:val="20"/>
              </w:rPr>
              <w:t xml:space="preserve">Hồ sơ, Lưu trữ &amp; Tài liệu tham chiếu</w:t>
            </w:r>
          </w:p>
        </w:tc>
      </w:tr>
    </w:tbl>
    <w:p>
      <w:pPr>
        <w:pBdr>
          <w:bottom w:val="single" w:sz="18" w:space="1" w:color="00B060"/>
        </w:pBdr>
        <w:tabs>
          <w:tab w:val="left" w:pos="2268"/>
        </w:tabs>
        <w:spacing w:before="60" w:after="240"/>
      </w:pPr>
      <w:r>
        <w:rPr>
          <w:sz w:val="8"/>
        </w:rPr>
        <w:tab/>
      </w:r>
    </w:p>
    <w:p>
      <w:pPr>
        <w:pBdr>
          <w:bottom w:val="single" w:sz="8" w:space="4" w:color="00B060"/>
        </w:pBdr>
        <w:spacing w:before="200" w:after="80"/>
      </w:pPr>
      <w:r>
        <w:rPr>
          <w:rFonts w:ascii="Calibri" w:hAnsi="Calibri"/>
          <w:b/>
          <w:color w:val="205090"/>
          <w:sz w:val="22"/>
          <w:spacing w:val="20"/>
        </w:rPr>
        <w:t xml:space="preserve">Retention</w:t>
      </w:r>
      <w:r>
        <w:rPr>
          <w:rFonts w:ascii="Calibri" w:hAnsi="Calibri"/>
          <w:i/>
          <w:color w:val="5C6470"/>
          <w:sz w:val="22"/>
        </w:rPr>
        <w:t xml:space="preserve"> / Lưu trữ</w:t>
      </w:r>
    </w:p>
    <w:p>
      <w:pPr>
        <w:spacing w:before="60" w:after="80" w:line="320" w:lineRule="auto"/>
        <w:jc w:val="both"/>
      </w:pPr>
      <w:r>
        <w:rPr>
          <w:rFonts w:ascii="Calibri" w:hAnsi="Calibri"/>
          <w:color w:val="1F2937"/>
          <w:sz w:val="22"/>
        </w:rPr>
        <w:t xml:space="preserve">Signed electronic records and their signatures and audit entries are retained for the record’s regulatory life and remain retrievable throughout. Backups are taken on a scheduled basis and kept per the IT backup schedule.</w:t>
      </w:r>
    </w:p>
    <w:p>
      <w:pPr>
        <w:spacing w:before="0" w:after="120" w:line="320" w:lineRule="auto"/>
        <w:jc w:val="both"/>
      </w:pPr>
      <w:r>
        <w:rPr>
          <w:rFonts w:ascii="Calibri" w:hAnsi="Calibri"/>
          <w:i/>
          <w:color w:val="5C6470"/>
          <w:sz w:val="22"/>
        </w:rPr>
        <w:t xml:space="preserve">Hồ sơ điện tử đã ký cùng chữ ký và các mục kiểm toán được lưu trong suốt vòng đời pháp lý của hồ sơ và luôn truy xuất được. Bản sao lưu được thực hiện định kỳ và giữ theo lịch sao lưu của IT.</w:t>
      </w:r>
    </w:p>
    <w:p>
      <w:pPr>
        <w:pBdr>
          <w:bottom w:val="single" w:sz="8" w:space="4" w:color="00B060"/>
        </w:pBdr>
        <w:spacing w:before="200" w:after="80"/>
      </w:pPr>
      <w:r>
        <w:rPr>
          <w:rFonts w:ascii="Calibri" w:hAnsi="Calibri"/>
          <w:b/>
          <w:color w:val="205090"/>
          <w:sz w:val="22"/>
          <w:spacing w:val="20"/>
        </w:rPr>
        <w:t xml:space="preserve">References</w:t>
      </w:r>
      <w:r>
        <w:rPr>
          <w:rFonts w:ascii="Calibri" w:hAnsi="Calibri"/>
          <w:i/>
          <w:color w:val="5C6470"/>
          <w:sz w:val="22"/>
        </w:rPr>
        <w:t xml:space="preserve"> / Tài liệu tham chiếu</w:t>
      </w:r>
    </w:p>
    <w:p>
      <w:pPr>
        <w:numPr>
          <w:ilvl w:val="0"/>
          <w:numId w:val="900"/>
        </w:numPr>
        <w:spacing w:before="20" w:after="40" w:line="300" w:lineRule="auto"/>
      </w:pPr>
      <w:r>
        <w:rPr>
          <w:rFonts w:ascii="Calibri" w:hAnsi="Calibri"/>
          <w:color w:val="1F2937"/>
          <w:sz w:val="22"/>
        </w:rPr>
        <w:t xml:space="preserve">US FDA 21 CFR Part 11 — Electronic Records; Electronic Signatures.</w:t>
      </w:r>
      <w:r>
        <w:rPr>
          <w:rFonts w:ascii="Calibri" w:hAnsi="Calibri"/>
          <w:i/>
          <w:color w:val="5C6470"/>
          <w:sz w:val="22"/>
        </w:rPr>
        <w:t xml:space="preserve"> / FDA Hoa Kỳ 21 CFR Part 11 — Hồ sơ điện tử; Chữ ký điện tử.</w:t>
      </w:r>
    </w:p>
    <w:p>
      <w:pPr>
        <w:numPr>
          <w:ilvl w:val="0"/>
          <w:numId w:val="900"/>
        </w:numPr>
        <w:spacing w:before="20" w:after="40" w:line="300" w:lineRule="auto"/>
      </w:pPr>
      <w:r>
        <w:rPr>
          <w:rFonts w:ascii="Calibri" w:hAnsi="Calibri"/>
          <w:color w:val="1F2937"/>
          <w:sz w:val="22"/>
        </w:rPr>
        <w:t xml:space="preserve">Humiley People &amp; Workplace Portal — production system (portal.humiley.com).</w:t>
      </w:r>
      <w:r>
        <w:rPr>
          <w:rFonts w:ascii="Calibri" w:hAnsi="Calibri"/>
          <w:i/>
          <w:color w:val="5C6470"/>
          <w:sz w:val="22"/>
        </w:rPr>
        <w:t xml:space="preserve"> / Cổng Nhân sự &amp; Vận hành Humiley — hệ thống vận hành (portal.humiley.com).</w:t>
      </w:r>
    </w:p>
    <w:p>
      <w:pPr>
        <w:pBdr>
          <w:bottom w:val="single" w:sz="8" w:space="4" w:color="00B060"/>
        </w:pBdr>
        <w:spacing w:before="200" w:after="80"/>
      </w:pPr>
      <w:r>
        <w:rPr>
          <w:rFonts w:ascii="Calibri" w:hAnsi="Calibri"/>
          <w:b/>
          <w:color w:val="205090"/>
          <w:sz w:val="22"/>
          <w:spacing w:val="20"/>
        </w:rPr>
        <w:t xml:space="preserve">Revision history</w:t>
      </w:r>
      <w:r>
        <w:rPr>
          <w:rFonts w:ascii="Calibri" w:hAnsi="Calibri"/>
          <w:i/>
          <w:color w:val="5C6470"/>
          <w:sz w:val="22"/>
        </w:rPr>
        <w:t xml:space="preserve"> / Lịch sử sửa đổi</w:t>
      </w:r>
    </w:p>
    <w:p>
      <w:pPr>
        <w:spacing w:before="40" w:after="40"/>
      </w:pPr>
    </w:p>
    <w:tbl>
      <w:tblPr>
        <w:tblW w:w="9349" w:type="dxa"/>
        <w:tblBorders>
          <w:top w:val="nil"/>
          <w:left w:val="nil"/>
          <w:bottom w:val="nil"/>
          <w:right w:val="nil"/>
          <w:insideH w:val="nil"/>
          <w:insideV w:val="nil"/>
        </w:tblBorders>
        <w:tblLayout w:type="fixed"/>
      </w:tblPr>
      <w:tblGrid>
        <w:gridCol w:w="1200"/>
        <w:gridCol w:w="2200"/>
        <w:gridCol w:w="5949"/>
      </w:tblGrid>
      <w:tr>
        <w:trPr>
          <w:trHeight w:val="420"/>
        </w:trPr>
        <w:tc>
          <w:tcPr>
            <w:tcW w:w="1200" w:type="dxa"/>
            <w:tcBorders>
              <w:top w:val="single" w:sz="2" w:color="FFFFFF"/>
              <w:left w:val="single" w:sz="2" w:color="FFFFFF"/>
              <w:bottom w:val="single" w:sz="2" w:color="FFFFFF"/>
              <w:right w:val="single" w:sz="2" w:color="FFFFFF"/>
            </w:tcBorders>
            <w:shd w:val="clear" w:color="auto" w:fill="205090"/>
            <w:tcMar>
              <w:top w:w="100" w:type="dxa"/>
              <w:bottom w:w="100" w:type="dxa"/>
              <w:left w:w="180" w:type="dxa"/>
              <w:right w:w="180" w:type="dxa"/>
            </w:tcMar>
            <w:vAlign w:val="center"/>
          </w:tcPr>
          <w:p>
            <w:pPr>
              <w:spacing w:before="0" w:after="0"/>
            </w:pPr>
            <w:r>
              <w:rPr>
                <w:rFonts w:ascii="Calibri" w:hAnsi="Calibri"/>
                <w:b/>
                <w:color w:val="FFFFFF"/>
                <w:sz w:val="22"/>
              </w:rPr>
              <w:t xml:space="preserve">Rev</w:t>
            </w:r>
          </w:p>
        </w:tc>
        <w:tc>
          <w:tcPr>
            <w:tcW w:w="2200" w:type="dxa"/>
            <w:tcBorders>
              <w:top w:val="single" w:sz="2" w:color="FFFFFF"/>
              <w:left w:val="single" w:sz="2" w:color="FFFFFF"/>
              <w:bottom w:val="single" w:sz="2" w:color="FFFFFF"/>
              <w:right w:val="single" w:sz="2" w:color="FFFFFF"/>
            </w:tcBorders>
            <w:shd w:val="clear" w:color="auto" w:fill="205090"/>
            <w:tcMar>
              <w:top w:w="100" w:type="dxa"/>
              <w:bottom w:w="100" w:type="dxa"/>
              <w:left w:w="180" w:type="dxa"/>
              <w:right w:w="180" w:type="dxa"/>
            </w:tcMar>
            <w:vAlign w:val="center"/>
          </w:tcPr>
          <w:p>
            <w:pPr>
              <w:spacing w:before="0" w:after="0"/>
            </w:pPr>
            <w:r>
              <w:rPr>
                <w:rFonts w:ascii="Calibri" w:hAnsi="Calibri"/>
                <w:b/>
                <w:color w:val="FFFFFF"/>
                <w:sz w:val="22"/>
              </w:rPr>
              <w:t xml:space="preserve">Date</w:t>
            </w:r>
          </w:p>
        </w:tc>
        <w:tc>
          <w:tcPr>
            <w:tcW w:w="5949" w:type="dxa"/>
            <w:tcBorders>
              <w:top w:val="single" w:sz="2" w:color="FFFFFF"/>
              <w:left w:val="single" w:sz="2" w:color="FFFFFF"/>
              <w:bottom w:val="single" w:sz="2" w:color="FFFFFF"/>
              <w:right w:val="single" w:sz="2" w:color="FFFFFF"/>
            </w:tcBorders>
            <w:shd w:val="clear" w:color="auto" w:fill="205090"/>
            <w:tcMar>
              <w:top w:w="100" w:type="dxa"/>
              <w:bottom w:w="100" w:type="dxa"/>
              <w:left w:w="180" w:type="dxa"/>
              <w:right w:w="180" w:type="dxa"/>
            </w:tcMar>
            <w:vAlign w:val="center"/>
          </w:tcPr>
          <w:p>
            <w:pPr>
              <w:spacing w:before="0" w:after="0"/>
            </w:pPr>
            <w:r>
              <w:rPr>
                <w:rFonts w:ascii="Calibri" w:hAnsi="Calibri"/>
                <w:b/>
                <w:color w:val="FFFFFF"/>
                <w:sz w:val="22"/>
              </w:rPr>
              <w:t xml:space="preserve">Summary</w:t>
            </w:r>
          </w:p>
        </w:tc>
      </w:tr>
      <w:tr>
        <w:trPr>
          <w:trHeight w:val="360"/>
        </w:trPr>
        <w:tc>
          <w:tcPr>
            <w:tcW w:w="1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01.0</w:t>
            </w:r>
          </w:p>
        </w:tc>
        <w:tc>
          <w:tcPr>
            <w:tcW w:w="2200"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04 Jul 2026</w:t>
            </w:r>
          </w:p>
        </w:tc>
        <w:tc>
          <w:tcPr>
            <w:tcW w:w="5949" w:type="dxa"/>
            <w:tcBorders>
              <w:top w:val="single" w:sz="2" w:color="FFFFFF"/>
              <w:left w:val="single" w:sz="2" w:color="FFFFFF"/>
              <w:bottom w:val="single" w:sz="2" w:color="FFFFFF"/>
              <w:right w:val="single" w:sz="2" w:color="FFFFFF"/>
            </w:tcBorders>
            <w:shd w:val="clear" w:color="auto" w:fill="F7F9FC"/>
            <w:tcMar>
              <w:top w:w="100" w:type="dxa"/>
              <w:bottom w:w="100" w:type="dxa"/>
              <w:left w:w="180" w:type="dxa"/>
              <w:right w:w="180" w:type="dxa"/>
            </w:tcMar>
            <w:vAlign w:val="center"/>
          </w:tcPr>
          <w:p>
            <w:pPr>
              <w:spacing w:before="0" w:after="0"/>
            </w:pPr>
            <w:r>
              <w:rPr>
                <w:rFonts w:ascii="Calibri" w:hAnsi="Calibri"/>
                <w:color w:val="1F2937"/>
                <w:sz w:val="22"/>
              </w:rPr>
              <w:t xml:space="preserve">Initial release — covers M365 re-authentication and signature-PIN signing.</w:t>
            </w:r>
          </w:p>
        </w:tc>
      </w:tr>
    </w:tbl>
    <w:sectPr>
      <w:headerReference w:type="default" r:id="rIdHdr"/>
      <w:footerReference w:type="default" r:id="rIdFtr"/>
      <w:pgSz w:w="11901" w:h="16840"/>
      <w:pgMar w:top="1134" w:right="851" w:bottom="1134"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F122" w14:textId="77777777" w:rsidR="00A420A5" w:rsidRDefault="00A420A5">
      <w:pPr>
        <w:spacing w:after="0" w:line="240" w:lineRule="auto"/>
      </w:pPr>
      <w:r>
        <w:separator/>
      </w:r>
    </w:p>
  </w:endnote>
  <w:endnote w:type="continuationSeparator" w:id="0">
    <w:p w14:paraId="77277C2D" w14:textId="77777777" w:rsidR="00A420A5" w:rsidRDefault="00A4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B55" w14:textId="77777777" w:rsidR="00736B3E" w:rsidRDefault="00000000">
    <w:pPr>
      <w:pBdr>
        <w:top w:val="single" w:sz="6" w:space="4" w:color="D5DAE3"/>
      </w:pBdr>
      <w:spacing w:after="80" w:line="240" w:lineRule="auto"/>
    </w:pPr>
    <w:r>
      <w:rPr>
        <w:color w:val="FFFFFF"/>
        <w:sz w:val="4"/>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1"/>
      <w:gridCol w:w="5556"/>
      <w:gridCol w:w="2041"/>
    </w:tblGrid>
    <w:tr w:rsidR="00736B3E" w14:paraId="261BE471" w14:textId="77777777">
      <w:tc>
        <w:tcPr>
          <w:tcW w:w="2041" w:type="dxa"/>
          <w:tcMar>
            <w:top w:w="40" w:type="dxa"/>
            <w:left w:w="0" w:type="dxa"/>
            <w:bottom w:w="40" w:type="dxa"/>
            <w:right w:w="0" w:type="dxa"/>
          </w:tcMar>
        </w:tcPr>
        <w:p w14:paraId="76F5456A" w14:textId="77777777" w:rsidR="00736B3E" w:rsidRDefault="00000000">
          <w:pPr>
            <w:spacing w:after="0" w:line="240" w:lineRule="auto"/>
          </w:pPr>
          <w:r>
            <w:rPr>
              <w:noProof/>
            </w:rPr>
            <w:drawing>
              <wp:inline distT="0" distB="0" distL="0" distR="0" wp14:anchorId="7453F9CE" wp14:editId="54A345F3">
                <wp:extent cx="719835" cy="2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L_logo2.png"/>
                        <pic:cNvPicPr/>
                      </pic:nvPicPr>
                      <pic:blipFill>
                        <a:blip r:embed="rId1"/>
                        <a:stretch>
                          <a:fillRect/>
                        </a:stretch>
                      </pic:blipFill>
                      <pic:spPr>
                        <a:xfrm>
                          <a:off x="0" y="0"/>
                          <a:ext cx="719835" cy="252000"/>
                        </a:xfrm>
                        <a:prstGeom prst="rect">
                          <a:avLst/>
                        </a:prstGeom>
                      </pic:spPr>
                    </pic:pic>
                  </a:graphicData>
                </a:graphic>
              </wp:inline>
            </w:drawing>
          </w:r>
        </w:p>
      </w:tc>
      <w:tc>
        <w:tcPr>
          <w:tcW w:w="5556" w:type="dxa"/>
          <w:tcMar>
            <w:top w:w="40" w:type="dxa"/>
            <w:left w:w="0" w:type="dxa"/>
            <w:bottom w:w="40" w:type="dxa"/>
            <w:right w:w="0" w:type="dxa"/>
          </w:tcMar>
        </w:tcPr>
        <w:p w14:paraId="3A74F609" w14:textId="77777777" w:rsidR="00736B3E" w:rsidRDefault="00000000">
          <w:pPr>
            <w:spacing w:after="0" w:line="252" w:lineRule="auto"/>
            <w:jc w:val="center"/>
          </w:pPr>
          <w:r>
            <w:rPr>
              <w:b/>
              <w:color w:val="205090"/>
              <w:sz w:val="18"/>
            </w:rPr>
            <w:t xml:space="preserve"/>
          </w:r>
          <w:proofErr w:type="gramStart"/>
          <w:r>
            <w:rPr>
              <w:b/>
              <w:color w:val="205090"/>
              <w:sz w:val="18"/>
            </w:rPr>
            <w:t>[ Electronic Records &amp; Electronic Signatures (21 CFR Part 11) ]</w:t>
          </w:r>
          <w:proofErr w:type="gramEnd"/>
        </w:p>
      </w:tc>
      <w:tc>
        <w:tcPr>
          <w:tcW w:w="2041" w:type="dxa"/>
          <w:tcMar>
            <w:top w:w="40" w:type="dxa"/>
            <w:left w:w="0" w:type="dxa"/>
            <w:bottom w:w="40" w:type="dxa"/>
            <w:right w:w="0" w:type="dxa"/>
          </w:tcMar>
        </w:tcPr>
        <w:p w14:paraId="340F7AC8" w14:textId="77777777" w:rsidR="00736B3E" w:rsidRDefault="00000000">
          <w:pPr>
            <w:spacing w:after="0" w:line="252" w:lineRule="auto"/>
            <w:jc w:val="right"/>
          </w:pPr>
          <w:r>
            <w:rPr>
              <w:b/>
              <w:color w:val="205090"/>
              <w:sz w:val="18"/>
            </w:rPr>
            <w:t xml:space="preserve">Page </w:t>
          </w:r>
          <w:r>
            <w:rPr>
              <w:b/>
              <w:color w:val="205090"/>
              <w:sz w:val="18"/>
              <w:szCs w:val="18"/>
            </w:rPr>
            <w:fldChar w:fldCharType="begin"/>
          </w:r>
          <w:r>
            <w:rPr>
              <w:b/>
              <w:color w:val="205090"/>
              <w:sz w:val="18"/>
              <w:szCs w:val="18"/>
            </w:rPr>
            <w:instrText xml:space="preserve"> PAGE </w:instrText>
          </w:r>
          <w:r>
            <w:rPr>
              <w:b/>
              <w:color w:val="205090"/>
              <w:sz w:val="18"/>
              <w:szCs w:val="18"/>
            </w:rPr>
            <w:fldChar w:fldCharType="separate"/>
          </w:r>
          <w:r>
            <w:rPr>
              <w:b/>
              <w:color w:val="205090"/>
              <w:sz w:val="18"/>
              <w:szCs w:val="18"/>
            </w:rPr>
            <w:t>1</w:t>
          </w:r>
          <w:r>
            <w:rPr>
              <w:b/>
              <w:color w:val="205090"/>
              <w:sz w:val="18"/>
              <w:szCs w:val="18"/>
            </w:rPr>
            <w:fldChar w:fldCharType="end"/>
          </w:r>
          <w:r>
            <w:rPr>
              <w:b/>
              <w:color w:val="205090"/>
              <w:sz w:val="18"/>
            </w:rPr>
            <w:t xml:space="preserve"> / </w:t>
          </w:r>
          <w:r>
            <w:rPr>
              <w:b/>
              <w:color w:val="205090"/>
              <w:sz w:val="18"/>
              <w:szCs w:val="18"/>
            </w:rPr>
            <w:fldChar w:fldCharType="begin"/>
          </w:r>
          <w:r>
            <w:rPr>
              <w:b/>
              <w:color w:val="205090"/>
              <w:sz w:val="18"/>
              <w:szCs w:val="18"/>
            </w:rPr>
            <w:instrText xml:space="preserve"> NUMPAGES </w:instrText>
          </w:r>
          <w:r>
            <w:rPr>
              <w:b/>
              <w:color w:val="205090"/>
              <w:sz w:val="18"/>
              <w:szCs w:val="18"/>
            </w:rPr>
            <w:fldChar w:fldCharType="separate"/>
          </w:r>
          <w:r>
            <w:rPr>
              <w:b/>
              <w:color w:val="205090"/>
              <w:sz w:val="18"/>
              <w:szCs w:val="18"/>
            </w:rPr>
            <w:t>1</w:t>
          </w:r>
          <w:r>
            <w:rPr>
              <w:b/>
              <w:color w:val="205090"/>
              <w:sz w:val="18"/>
              <w:szCs w:val="18"/>
            </w:rPr>
            <w:fldChar w:fldCharType="end"/>
          </w:r>
        </w:p>
        <w:p w14:paraId="50E61762" w14:textId="77777777" w:rsidR="00736B3E" w:rsidRDefault="00000000">
          <w:pPr>
            <w:spacing w:after="0" w:line="240" w:lineRule="auto"/>
            <w:jc w:val="right"/>
          </w:pPr>
          <w:r>
            <w:rPr>
              <w:color w:val="5C6470"/>
              <w:sz w:val="14"/>
            </w:rPr>
            <w:t>[ HML-SOP-IT-011  Rev 01.0 ]</w:t>
          </w:r>
          <w:proofErr w:type="gramStart"/>
          <w:r>
            <w:rPr>
              <w:color w:val="5C6470"/>
              <w:sz w:val="14"/>
            </w:rPr>
            <w:t/>
          </w:r>
          <w:proofErr w:type="gramEnd"/>
          <w:r>
            <w:rPr>
              <w:color w:val="5C6470"/>
              <w:sz w:val="14"/>
            </w:rPr>
            <w:t xml:space="preserve"> </w:t>
          </w:r>
          <w:proofErr w:type="gramStart"/>
          <w:r>
            <w:rPr>
              <w:color w:val="5C6470"/>
              <w:sz w:val="14"/>
            </w:rPr>
            <w:t/>
          </w:r>
          <w:proofErr w:type="gram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BA11" w14:textId="77777777" w:rsidR="00A420A5" w:rsidRDefault="00A420A5">
      <w:pPr>
        <w:spacing w:after="0" w:line="240" w:lineRule="auto"/>
      </w:pPr>
      <w:r>
        <w:separator/>
      </w:r>
    </w:p>
  </w:footnote>
  <w:footnote w:type="continuationSeparator" w:id="0">
    <w:p w14:paraId="2F9081FB" w14:textId="77777777" w:rsidR="00A420A5" w:rsidRDefault="00A4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Borders>
        <w:top w:val="nil"/>
        <w:left w:val="nil"/>
        <w:bottom w:val="nil"/>
        <w:right w:val="nil"/>
        <w:insideH w:val="nil"/>
        <w:insideV w:val="nil"/>
      </w:tblBorders>
      <w:tblLayout w:type="fixed"/>
      <w:tblLook w:val="04A0" w:firstRow="1" w:lastRow="0" w:firstColumn="1" w:lastColumn="0" w:noHBand="0" w:noVBand="1"/>
    </w:tblPr>
    <w:tblGrid>
      <w:gridCol w:w="2268"/>
      <w:gridCol w:w="1587"/>
      <w:gridCol w:w="5783"/>
    </w:tblGrid>
    <w:tr w:rsidR="00736B3E" w14:paraId="3C7B020B" w14:textId="77777777" w:rsidTr="00850A83">
      <w:trPr>
        <w:trHeight w:hRule="exact" w:val="136"/>
      </w:trPr>
      <w:tc>
        <w:tcPr>
          <w:tcW w:w="2268" w:type="dxa"/>
          <w:shd w:val="clear" w:color="auto" w:fill="00B060"/>
          <w:tcMar>
            <w:top w:w="0" w:type="dxa"/>
            <w:left w:w="0" w:type="dxa"/>
            <w:bottom w:w="0" w:type="dxa"/>
            <w:right w:w="0" w:type="dxa"/>
          </w:tcMar>
        </w:tcPr>
        <w:p w14:paraId="7D76F308" w14:textId="77777777" w:rsidR="00736B3E" w:rsidRDefault="00736B3E">
          <w:pPr>
            <w:spacing w:after="0" w:line="240" w:lineRule="auto"/>
          </w:pPr>
        </w:p>
      </w:tc>
      <w:tc>
        <w:tcPr>
          <w:tcW w:w="1587" w:type="dxa"/>
          <w:shd w:val="clear" w:color="auto" w:fill="205090"/>
          <w:tcMar>
            <w:top w:w="0" w:type="dxa"/>
            <w:left w:w="0" w:type="dxa"/>
            <w:bottom w:w="0" w:type="dxa"/>
            <w:right w:w="0" w:type="dxa"/>
          </w:tcMar>
        </w:tcPr>
        <w:p w14:paraId="57567935" w14:textId="77777777" w:rsidR="00736B3E" w:rsidRDefault="00736B3E">
          <w:pPr>
            <w:spacing w:after="0" w:line="240" w:lineRule="auto"/>
          </w:pPr>
        </w:p>
      </w:tc>
      <w:tc>
        <w:tcPr>
          <w:tcW w:w="5783" w:type="dxa"/>
          <w:tcMar>
            <w:top w:w="0" w:type="dxa"/>
            <w:left w:w="0" w:type="dxa"/>
            <w:bottom w:w="0" w:type="dxa"/>
            <w:right w:w="0" w:type="dxa"/>
          </w:tcMar>
        </w:tcPr>
        <w:p w14:paraId="2B74D779" w14:textId="77777777" w:rsidR="00736B3E" w:rsidRDefault="00736B3E">
          <w:pPr>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720" w:hanging="360"/>
      </w:pPr>
      <w:rPr>
        <w:rFonts w:ascii="Calibri" w:hAnsi="Calibri" w:hint="default"/>
        <w:color w:val="00B060"/>
      </w:rPr>
    </w:lvl>
  </w:abstractNum>
  <w:abstractNum w:abstractNumId="901">
    <w:multiLevelType w:val="hybridMultilevel"/>
    <w:lvl w:ilvl="0">
      <w:start w:val="1"/>
      <w:numFmt w:val="decimal"/>
      <w:lvlText w:val="%1."/>
      <w:lvlJc w:val="left"/>
      <w:pPr>
        <w:ind w:left="720" w:hanging="360"/>
      </w:pPr>
      <w:rPr>
        <w:rFonts w:ascii="Calibri" w:hAnsi="Calibri" w:hint="default"/>
        <w:color w:val="205090"/>
      </w:rPr>
    </w:lvl>
  </w:abstractNum>
  <w:num w:numId="1" w16cid:durableId="987436749">
    <w:abstractNumId w:val="8"/>
  </w:num>
  <w:num w:numId="2" w16cid:durableId="604729802">
    <w:abstractNumId w:val="6"/>
  </w:num>
  <w:num w:numId="3" w16cid:durableId="112408235">
    <w:abstractNumId w:val="5"/>
  </w:num>
  <w:num w:numId="4" w16cid:durableId="1160659298">
    <w:abstractNumId w:val="4"/>
  </w:num>
  <w:num w:numId="5" w16cid:durableId="732390488">
    <w:abstractNumId w:val="7"/>
  </w:num>
  <w:num w:numId="6" w16cid:durableId="1228229747">
    <w:abstractNumId w:val="3"/>
  </w:num>
  <w:num w:numId="7" w16cid:durableId="159394773">
    <w:abstractNumId w:val="2"/>
  </w:num>
  <w:num w:numId="8" w16cid:durableId="815997059">
    <w:abstractNumId w:val="1"/>
  </w:num>
  <w:num w:numId="9" w16cid:durableId="1407147633">
    <w:abstractNumId w:val="0"/>
  </w:num>
  <w:num w:numId="900">
    <w:abstractNumId w:val="900"/>
  </w: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09"/>
    <w:rsid w:val="00736B3E"/>
    <w:rsid w:val="00850A83"/>
    <w:rsid w:val="00A420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0727"/>
  <w14:defaultImageDpi w14:val="300"/>
  <w15:docId w15:val="{46F4BC75-B260-D54F-BEF8-55F8164E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ogoCover" Type="http://schemas.openxmlformats.org/officeDocument/2006/relationships/image" Target="media/logo_cover.png"/><Relationship Id="rIdHdr" Type="http://schemas.openxmlformats.org/officeDocument/2006/relationships/header" Target="header1.xml"/><Relationship Id="rIdFtr"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Duc</cp:lastModifiedBy>
  <cp:revision>2</cp:revision>
  <dcterms:created xsi:type="dcterms:W3CDTF">2013-12-23T23:15:00Z</dcterms:created>
  <dcterms:modified xsi:type="dcterms:W3CDTF">2026-04-27T06:50:00Z</dcterms:modified>
  <cp:category/>
</cp:coreProperties>
</file>