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Thu Hoang</w:t>
      </w:r>
    </w:p>
    <w:p>
      <w:pPr>
        <w:spacing w:before="0" w:after="30"/>
      </w:pPr>
      <w:r>
        <w:rPr>
          <w:rFonts w:ascii="Calibri" w:hAnsi="Calibri"/>
          <w:color w:val="1F2937"/>
          <w:sz w:val="22"/>
        </w:rPr>
        <w:t>Accountant</w:t>
      </w:r>
    </w:p>
    <w:p>
      <w:pPr>
        <w:spacing w:before="0" w:after="30"/>
      </w:pPr>
      <w:r>
        <w:rPr>
          <w:rFonts w:ascii="Calibri" w:hAnsi="Calibri"/>
          <w:color w:val="1F2937"/>
          <w:sz w:val="22"/>
        </w:rPr>
        <w:t>Humiley Group Inc.</w:t>
      </w:r>
    </w:p>
    <w:p>
      <w:pPr>
        <w:spacing w:before="0" w:after="30"/>
      </w:pPr>
      <w:r>
        <w:rPr>
          <w:rFonts w:ascii="Calibri" w:hAnsi="Calibri"/>
          <w:color w:val="1F2937"/>
          <w:sz w:val="22"/>
        </w:rPr>
        <w:t>Finance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Thu Hoang,</w:t>
      </w:r>
    </w:p>
    <w:p>
      <w:pPr>
        <w:spacing w:before="0" w:after="240"/>
      </w:pPr>
      <w:r>
        <w:rPr>
          <w:rFonts w:ascii="Calibri" w:hAnsi="Calibri"/>
          <w:i/>
          <w:color w:val="5C6470"/>
          <w:sz w:val="18"/>
        </w:rPr>
        <w:t>Kính gửi Thu Hoang,</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