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An Nguyen</w:t>
      </w:r>
    </w:p>
    <w:p>
      <w:pPr>
        <w:spacing w:before="0" w:after="30"/>
      </w:pPr>
      <w:r>
        <w:rPr>
          <w:rFonts w:ascii="Calibri" w:hAnsi="Calibri"/>
          <w:color w:val="1F2937"/>
          <w:sz w:val="22"/>
        </w:rPr>
        <w:t>Automation 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Engineering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An Nguyen,</w:t>
      </w:r>
    </w:p>
    <w:p>
      <w:pPr>
        <w:spacing w:before="0" w:after="240"/>
      </w:pPr>
      <w:r>
        <w:rPr>
          <w:rFonts w:ascii="Calibri" w:hAnsi="Calibri"/>
          <w:i/>
          <w:color w:val="5C6470"/>
          <w:sz w:val="18"/>
        </w:rPr>
        <w:t>Kính gửi An Nguyen,</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