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Duc Thanh</w:t>
      </w:r>
    </w:p>
    <w:p>
      <w:pPr>
        <w:spacing w:before="0" w:after="30"/>
      </w:pPr>
      <w:r>
        <w:rPr>
          <w:rFonts w:ascii="Calibri" w:hAnsi="Calibri"/>
          <w:color w:val="1F2937"/>
          <w:sz w:val="22"/>
        </w:rPr>
        <w:t>Senior Engineer</w:t>
      </w:r>
    </w:p>
    <w:p>
      <w:pPr>
        <w:spacing w:before="0" w:after="30"/>
      </w:pPr>
      <w:r>
        <w:rPr>
          <w:rFonts w:ascii="Calibri" w:hAnsi="Calibri"/>
          <w:color w:val="1F2937"/>
          <w:sz w:val="22"/>
        </w:rPr>
        <w:t>Humiley Group Inc.</w:t>
      </w:r>
    </w:p>
    <w:p>
      <w:pPr>
        <w:spacing w:before="0" w:after="30"/>
      </w:pPr>
      <w:r>
        <w:rPr>
          <w:rFonts w:ascii="Calibri" w:hAnsi="Calibri"/>
          <w:color w:val="1F2937"/>
          <w:sz w:val="22"/>
        </w:rPr>
        <w:t>Engineering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Duc Thanh,</w:t>
      </w:r>
    </w:p>
    <w:p>
      <w:pPr>
        <w:spacing w:before="0" w:after="240"/>
      </w:pPr>
      <w:r>
        <w:rPr>
          <w:rFonts w:ascii="Calibri" w:hAnsi="Calibri"/>
          <w:i/>
          <w:color w:val="5C6470"/>
          <w:sz w:val="18"/>
        </w:rPr>
        <w:t>Kính gửi Duc Thanh,</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