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Phuc Dang</w:t>
      </w:r>
    </w:p>
    <w:p>
      <w:pPr>
        <w:spacing w:before="0" w:after="30"/>
      </w:pPr>
      <w:r>
        <w:rPr>
          <w:rFonts w:ascii="Calibri" w:hAnsi="Calibri"/>
          <w:color w:val="1F2937"/>
          <w:sz w:val="22"/>
        </w:rPr>
        <w:t>Finance Lead</w:t>
      </w:r>
    </w:p>
    <w:p>
      <w:pPr>
        <w:spacing w:before="0" w:after="30"/>
      </w:pPr>
      <w:r>
        <w:rPr>
          <w:rFonts w:ascii="Calibri" w:hAnsi="Calibri"/>
          <w:color w:val="1F2937"/>
          <w:sz w:val="22"/>
        </w:rPr>
        <w:t>Humiley Group Inc.</w:t>
      </w:r>
    </w:p>
    <w:p>
      <w:pPr>
        <w:spacing w:before="0" w:after="30"/>
      </w:pPr>
      <w:r>
        <w:rPr>
          <w:rFonts w:ascii="Calibri" w:hAnsi="Calibri"/>
          <w:color w:val="1F2937"/>
          <w:sz w:val="22"/>
        </w:rPr>
        <w:t>Finance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Phuc Dang,</w:t>
      </w:r>
    </w:p>
    <w:p>
      <w:pPr>
        <w:spacing w:before="0" w:after="240"/>
      </w:pPr>
      <w:r>
        <w:rPr>
          <w:rFonts w:ascii="Calibri" w:hAnsi="Calibri"/>
          <w:i/>
          <w:color w:val="5C6470"/>
          <w:sz w:val="18"/>
        </w:rPr>
        <w:t>Kính gửi Phuc Dang,</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