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4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500"/>
        <w:gridCol w:w="4849"/>
      </w:tblGrid>
      <w:tr>
        <w:trPr>
          <w:trHeight w:val="1700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</w:p>
        </w:tc>
        <w:tc>
          <w:tcPr>
            <w:tcW w:w="484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before="0" w:after="0"/>
            </w:pPr>
            <w:r>
              <w:rPr>
                <w:noProof/>
              </w:rPr>
              <w:drawing>
                <wp:inline distT="0" distB="0" distL="0" distR="0">
                  <wp:extent cx="2057400" cy="720000"/>
                  <wp:effectExtent l="0" t="0" r="0" b="0"/>
                  <wp:docPr id="100" name="Humiley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umileyLogo"/>
                          <pic:cNvPicPr/>
                        </pic:nvPicPr>
                        <pic:blipFill>
                          <a:blip r:embed="rIdLogoCover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pBdr>
          <w:left w:val="single" w:sz="18" w:space="8" w:color="00B060"/>
        </w:pBdr>
        <w:ind w:left="120"/>
        <w:spacing w:before="0" w:after="60"/>
      </w:pPr>
      <w:r>
        <w:rPr>
          <w:rFonts w:ascii="Calibri" w:hAnsi="Calibri"/>
          <w:b/>
          <w:color w:val="00B060"/>
          <w:sz w:val="18"/>
          <w:spacing w:val="10"/>
        </w:rPr>
        <w:t>User Manual</w:t>
      </w:r>
    </w:p>
    <w:p>
      <w:pPr>
        <w:spacing w:before="120" w:after="0"/>
      </w:pPr>
      <w:r>
        <w:rPr>
          <w:rFonts w:ascii="Calibri" w:hAnsi="Calibri"/>
          <w:b/>
          <w:color w:val="205090"/>
          <w:sz w:val="96"/>
        </w:rPr>
        <w:t xml:space="preserve">People &amp; Workplace</w:t>
      </w:r>
    </w:p>
    <w:p>
      <w:pPr>
        <w:spacing w:before="0" w:after="60"/>
      </w:pPr>
      <w:r>
        <w:rPr>
          <w:rFonts w:ascii="Calibri" w:hAnsi="Calibri"/>
          <w:b/>
          <w:color w:val="205090"/>
          <w:sz w:val="96"/>
        </w:rPr>
        <w:t xml:space="preserve">Portal.</w:t>
      </w:r>
      <w:r>
        <w:rPr>
          <w:rFonts w:ascii="Calibri" w:hAnsi="Calibri"/>
          <w:b/>
          <w:color w:val="00B060"/>
          <w:sz w:val="96"/>
        </w:rPr>
        <w:t>.</w:t>
      </w:r>
    </w:p>
    <w:p>
      <w:pPr>
        <w:spacing w:before="120" w:after="60"/>
      </w:pPr>
      <w:r>
        <w:rPr>
          <w:rFonts w:ascii="Calibri" w:hAnsi="Calibri"/>
          <w:color w:val="3168A8"/>
          <w:sz w:val="26"/>
        </w:rPr>
        <w:t>End-user guide — HR, CRM and PMC project management</w:t>
      </w:r>
    </w:p>
    <w:p>
      <w:pPr>
        <w:pBdr>
          <w:bottom w:val="single" w:sz="18" w:space="1" w:color="00B060"/>
        </w:pBdr>
        <w:tabs>
          <w:tab w:val="left" w:pos="2552"/>
        </w:tabs>
        <w:spacing w:before="0" w:after="360"/>
      </w:pPr>
      <w:r>
        <w:rPr>
          <w:sz w:val="8"/>
        </w:rPr>
        <w:tab/>
      </w:r>
    </w:p>
    <w:tbl>
      <w:tblPr>
        <w:tblW w:w="934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3000"/>
        <w:gridCol w:w="6349"/>
      </w:tblGrid>
      <w:tr>
        <w:trPr>
          <w:trHeight w:val="500"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7F9FC"/>
            <w:tcMar>
              <w:top w:w="100" w:type="dxa"/>
              <w:bottom w:w="100" w:type="dxa"/>
              <w:left w:w="2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8548"/>
                <w:sz w:val="22"/>
              </w:rPr>
              <w:t xml:space="preserve">DOCUMENT NUMBER</w:t>
            </w:r>
          </w:p>
        </w:tc>
        <w:tc>
          <w:tcPr>
            <w:tcW w:w="6349" w:type="dxa"/>
            <w:tcBorders>
              <w:top w:val="nil"/>
              <w:left w:val="nil"/>
              <w:bottom w:val="nil"/>
              <w:right w:val="nil"/>
            </w:tcBorders>
            <w:shd w:val="clear" w:color="auto" w:fill="F7F9FC"/>
            <w:tcMar>
              <w:top w:w="100" w:type="dxa"/>
              <w:bottom w:w="100" w:type="dxa"/>
              <w:left w:w="120" w:type="dxa"/>
              <w:right w:w="2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22"/>
              </w:rPr>
              <w:t>HML-MAN-0001</w:t>
            </w:r>
          </w:p>
        </w:tc>
      </w:tr>
      <w:tr>
        <w:trPr>
          <w:trHeight w:val="500"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7F9FC"/>
            <w:tcMar>
              <w:top w:w="100" w:type="dxa"/>
              <w:bottom w:w="100" w:type="dxa"/>
              <w:left w:w="2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8548"/>
                <w:sz w:val="22"/>
              </w:rPr>
              <w:t xml:space="preserve">ISSUE DATE</w:t>
            </w:r>
          </w:p>
        </w:tc>
        <w:tc>
          <w:tcPr>
            <w:tcW w:w="6349" w:type="dxa"/>
            <w:tcBorders>
              <w:top w:val="nil"/>
              <w:left w:val="nil"/>
              <w:bottom w:val="nil"/>
              <w:right w:val="nil"/>
            </w:tcBorders>
            <w:shd w:val="clear" w:color="auto" w:fill="F7F9FC"/>
            <w:tcMar>
              <w:top w:w="100" w:type="dxa"/>
              <w:bottom w:w="100" w:type="dxa"/>
              <w:left w:w="120" w:type="dxa"/>
              <w:right w:w="2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22"/>
              </w:rPr>
              <w:t>2026</w:t>
            </w:r>
          </w:p>
        </w:tc>
      </w:tr>
      <w:tr>
        <w:trPr>
          <w:trHeight w:val="500"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7F9FC"/>
            <w:tcMar>
              <w:top w:w="100" w:type="dxa"/>
              <w:bottom w:w="100" w:type="dxa"/>
              <w:left w:w="2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8548"/>
                <w:sz w:val="22"/>
              </w:rPr>
              <w:t xml:space="preserve">OWNER</w:t>
            </w:r>
          </w:p>
        </w:tc>
        <w:tc>
          <w:tcPr>
            <w:tcW w:w="6349" w:type="dxa"/>
            <w:tcBorders>
              <w:top w:val="nil"/>
              <w:left w:val="nil"/>
              <w:bottom w:val="nil"/>
              <w:right w:val="nil"/>
            </w:tcBorders>
            <w:shd w:val="clear" w:color="auto" w:fill="F7F9FC"/>
            <w:tcMar>
              <w:top w:w="100" w:type="dxa"/>
              <w:bottom w:w="100" w:type="dxa"/>
              <w:left w:w="120" w:type="dxa"/>
              <w:right w:w="2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22"/>
              </w:rPr>
              <w:t>Humiley Group Inc.</w:t>
            </w:r>
          </w:p>
        </w:tc>
      </w:tr>
      <w:tr>
        <w:trPr>
          <w:trHeight w:val="500"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7F9FC"/>
            <w:tcMar>
              <w:top w:w="100" w:type="dxa"/>
              <w:bottom w:w="100" w:type="dxa"/>
              <w:left w:w="2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8548"/>
                <w:sz w:val="22"/>
              </w:rPr>
              <w:t xml:space="preserve">APPROVAL</w:t>
            </w:r>
          </w:p>
        </w:tc>
        <w:tc>
          <w:tcPr>
            <w:tcW w:w="6349" w:type="dxa"/>
            <w:tcBorders>
              <w:top w:val="nil"/>
              <w:left w:val="nil"/>
              <w:bottom w:val="nil"/>
              <w:right w:val="nil"/>
            </w:tcBorders>
            <w:shd w:val="clear" w:color="auto" w:fill="F7F9FC"/>
            <w:tcMar>
              <w:top w:w="100" w:type="dxa"/>
              <w:bottom w:w="100" w:type="dxa"/>
              <w:left w:w="120" w:type="dxa"/>
              <w:right w:w="2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22"/>
              </w:rPr>
              <w:t>Tony Nguyen, CEO</w:t>
            </w:r>
          </w:p>
        </w:tc>
      </w:tr>
      <w:tr>
        <w:trPr>
          <w:trHeight w:val="500"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7F9FC"/>
            <w:tcMar>
              <w:top w:w="100" w:type="dxa"/>
              <w:bottom w:w="100" w:type="dxa"/>
              <w:left w:w="2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8548"/>
                <w:sz w:val="22"/>
              </w:rPr>
              <w:t xml:space="preserve">DISTRIBUTION</w:t>
            </w:r>
          </w:p>
        </w:tc>
        <w:tc>
          <w:tcPr>
            <w:tcW w:w="6349" w:type="dxa"/>
            <w:tcBorders>
              <w:top w:val="nil"/>
              <w:left w:val="nil"/>
              <w:bottom w:val="nil"/>
              <w:right w:val="nil"/>
            </w:tcBorders>
            <w:shd w:val="clear" w:color="auto" w:fill="F7F9FC"/>
            <w:tcMar>
              <w:top w:w="100" w:type="dxa"/>
              <w:bottom w:w="100" w:type="dxa"/>
              <w:left w:w="120" w:type="dxa"/>
              <w:right w:w="2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22"/>
              </w:rPr>
              <w:t>All staff</w:t>
            </w:r>
          </w:p>
        </w:tc>
      </w:tr>
      <w:tr>
        <w:trPr>
          <w:trHeight w:val="500"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7F9FC"/>
            <w:tcMar>
              <w:top w:w="100" w:type="dxa"/>
              <w:bottom w:w="100" w:type="dxa"/>
              <w:left w:w="2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8548"/>
                <w:sz w:val="22"/>
              </w:rPr>
              <w:t xml:space="preserve">CONFIDENTIALITY</w:t>
            </w:r>
          </w:p>
        </w:tc>
        <w:tc>
          <w:tcPr>
            <w:tcW w:w="6349" w:type="dxa"/>
            <w:tcBorders>
              <w:top w:val="nil"/>
              <w:left w:val="nil"/>
              <w:bottom w:val="nil"/>
              <w:right w:val="nil"/>
            </w:tcBorders>
            <w:shd w:val="clear" w:color="auto" w:fill="F7F9FC"/>
            <w:tcMar>
              <w:top w:w="100" w:type="dxa"/>
              <w:bottom w:w="100" w:type="dxa"/>
              <w:left w:w="120" w:type="dxa"/>
              <w:right w:w="2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22"/>
              </w:rPr>
              <w:t>Internal</w:t>
            </w:r>
          </w:p>
        </w:tc>
      </w:tr>
    </w:tbl>
    <w:p>
      <w:r>
        <w:br w:type="page"/>
      </w:r>
    </w:p>
    <w:p>
      <w:pPr>
        <w:spacing w:before="240" w:after="0"/>
      </w:pPr>
    </w:p>
    <w:tbl>
      <w:tblPr>
        <w:tblW w:w="934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500"/>
        <w:gridCol w:w="7849"/>
      </w:tblGrid>
      <w:tr>
        <w:trPr>
          <w:trHeight w:val="1100"/>
        </w:trPr>
        <w:tc>
          <w:tcPr>
            <w:tcW w:w="1500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B5C8E5"/>
                <w:sz w:val="96"/>
              </w:rPr>
              <w:t>01</w:t>
            </w:r>
          </w:p>
        </w:tc>
        <w:tc>
          <w:tcPr>
            <w:tcW w:w="7849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40" w:after="0"/>
            </w:pPr>
            <w:r>
              <w:rPr>
                <w:rFonts w:ascii="Calibri" w:hAnsi="Calibri"/>
                <w:b/>
                <w:color w:val="205090"/>
                <w:sz w:val="44"/>
              </w:rPr>
              <w:t>Document Information</w:t>
            </w:r>
          </w:p>
        </w:tc>
      </w:tr>
    </w:tbl>
    <w:p>
      <w:pPr>
        <w:pBdr>
          <w:bottom w:val="single" w:sz="18" w:space="1" w:color="00B060"/>
        </w:pBdr>
        <w:tabs>
          <w:tab w:val="left" w:pos="2268"/>
        </w:tabs>
        <w:spacing w:before="60" w:after="360"/>
      </w:pPr>
      <w:r>
        <w:rPr>
          <w:sz w:val="8"/>
        </w:rPr>
        <w:tab/>
      </w:r>
    </w:p>
    <w:p>
      <w:pPr>
        <w:pBdr>
          <w:bottom w:val="single" w:sz="8" w:space="4" w:color="00B060"/>
        </w:pBdr>
        <w:spacing w:before="120" w:after="60"/>
      </w:pPr>
      <w:r>
        <w:rPr>
          <w:rFonts w:ascii="Calibri" w:hAnsi="Calibri"/>
          <w:b/>
          <w:color w:val="205090"/>
          <w:sz w:val="18"/>
          <w:spacing w:val="20"/>
        </w:rPr>
        <w:t>DOCUMENT INFORMATION</w:t>
      </w:r>
    </w:p>
    <w:tbl>
      <w:tblPr>
        <w:tblW w:w="934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3200"/>
        <w:gridCol w:w="6149"/>
      </w:tblGrid>
      <w:tr>
        <w:trPr>
          <w:trHeight w:val="600"/>
        </w:trPr>
        <w:tc>
          <w:tcPr>
            <w:tcW w:w="3200" w:type="dxa"/>
            <w:tcBorders>
              <w:top w:val="single" w:sz="2" w:color="FFFFFF"/>
              <w:bottom w:val="single" w:sz="2" w:color="FFFFFF"/>
              <w:left w:val="nil"/>
              <w:right w:val="nil"/>
            </w:tcBorders>
            <w:shd w:val="clear" w:color="auto" w:fill="F7F9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205090"/>
                <w:sz w:val="22"/>
              </w:rPr>
              <w:t>Document title</w:t>
            </w:r>
          </w:p>
        </w:tc>
        <w:tc>
          <w:tcPr>
            <w:tcW w:w="6149" w:type="dxa"/>
            <w:tcBorders>
              <w:top w:val="single" w:sz="2" w:color="FFFFFF"/>
              <w:bottom w:val="single" w:sz="2" w:color="FFFFFF"/>
              <w:left w:val="nil"/>
              <w:right w:val="nil"/>
            </w:tcBorders>
            <w:shd w:val="clear" w:color="auto" w:fill="F7F9FC"/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22"/>
              </w:rPr>
              <w:t>Humiley Portal — User Manual</w:t>
            </w:r>
          </w:p>
        </w:tc>
      </w:tr>
      <w:tr>
        <w:trPr>
          <w:trHeight w:val="600"/>
        </w:trPr>
        <w:tc>
          <w:tcPr>
            <w:tcW w:w="3200" w:type="dxa"/>
            <w:tcBorders>
              <w:top w:val="single" w:sz="2" w:color="FFFFFF"/>
              <w:bottom w:val="single" w:sz="2" w:color="FFFFFF"/>
              <w:left w:val="nil"/>
              <w:right w:val="nil"/>
            </w:tcBorders>
            <w:shd w:val="clear" w:color="auto" w:fill="F7F9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205090"/>
                <w:sz w:val="22"/>
              </w:rPr>
              <w:t>Document number</w:t>
            </w:r>
          </w:p>
        </w:tc>
        <w:tc>
          <w:tcPr>
            <w:tcW w:w="6149" w:type="dxa"/>
            <w:tcBorders>
              <w:top w:val="single" w:sz="2" w:color="FFFFFF"/>
              <w:bottom w:val="single" w:sz="2" w:color="FFFFFF"/>
              <w:left w:val="nil"/>
              <w:right w:val="nil"/>
            </w:tcBorders>
            <w:shd w:val="clear" w:color="auto" w:fill="F7F9FC"/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22"/>
              </w:rPr>
              <w:t>HML-MAN-0001</w:t>
            </w:r>
          </w:p>
        </w:tc>
      </w:tr>
      <w:tr>
        <w:trPr>
          <w:trHeight w:val="600"/>
        </w:trPr>
        <w:tc>
          <w:tcPr>
            <w:tcW w:w="3200" w:type="dxa"/>
            <w:tcBorders>
              <w:top w:val="single" w:sz="2" w:color="FFFFFF"/>
              <w:bottom w:val="single" w:sz="2" w:color="FFFFFF"/>
              <w:left w:val="nil"/>
              <w:right w:val="nil"/>
            </w:tcBorders>
            <w:shd w:val="clear" w:color="auto" w:fill="F7F9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205090"/>
                <w:sz w:val="22"/>
              </w:rPr>
              <w:t>Revision</w:t>
            </w:r>
          </w:p>
        </w:tc>
        <w:tc>
          <w:tcPr>
            <w:tcW w:w="6149" w:type="dxa"/>
            <w:tcBorders>
              <w:top w:val="single" w:sz="2" w:color="FFFFFF"/>
              <w:bottom w:val="single" w:sz="2" w:color="FFFFFF"/>
              <w:left w:val="nil"/>
              <w:right w:val="nil"/>
            </w:tcBorders>
            <w:shd w:val="clear" w:color="auto" w:fill="F7F9FC"/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22"/>
              </w:rPr>
              <w:t>01.0 (initial release)</w:t>
            </w:r>
          </w:p>
        </w:tc>
      </w:tr>
      <w:tr>
        <w:trPr>
          <w:trHeight w:val="600"/>
        </w:trPr>
        <w:tc>
          <w:tcPr>
            <w:tcW w:w="3200" w:type="dxa"/>
            <w:tcBorders>
              <w:top w:val="single" w:sz="2" w:color="FFFFFF"/>
              <w:bottom w:val="single" w:sz="2" w:color="FFFFFF"/>
              <w:left w:val="nil"/>
              <w:right w:val="nil"/>
            </w:tcBorders>
            <w:shd w:val="clear" w:color="auto" w:fill="F7F9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205090"/>
                <w:sz w:val="22"/>
              </w:rPr>
              <w:t>Issue date</w:t>
            </w:r>
          </w:p>
        </w:tc>
        <w:tc>
          <w:tcPr>
            <w:tcW w:w="6149" w:type="dxa"/>
            <w:tcBorders>
              <w:top w:val="single" w:sz="2" w:color="FFFFFF"/>
              <w:bottom w:val="single" w:sz="2" w:color="FFFFFF"/>
              <w:left w:val="nil"/>
              <w:right w:val="nil"/>
            </w:tcBorders>
            <w:shd w:val="clear" w:color="auto" w:fill="F7F9FC"/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22"/>
              </w:rPr>
              <w:t>2026</w:t>
            </w:r>
          </w:p>
        </w:tc>
      </w:tr>
      <w:tr>
        <w:trPr>
          <w:trHeight w:val="600"/>
        </w:trPr>
        <w:tc>
          <w:tcPr>
            <w:tcW w:w="3200" w:type="dxa"/>
            <w:tcBorders>
              <w:top w:val="single" w:sz="2" w:color="FFFFFF"/>
              <w:bottom w:val="single" w:sz="2" w:color="FFFFFF"/>
              <w:left w:val="nil"/>
              <w:right w:val="nil"/>
            </w:tcBorders>
            <w:shd w:val="clear" w:color="auto" w:fill="F7F9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205090"/>
                <w:sz w:val="22"/>
              </w:rPr>
              <w:t>Owner</w:t>
            </w:r>
          </w:p>
        </w:tc>
        <w:tc>
          <w:tcPr>
            <w:tcW w:w="6149" w:type="dxa"/>
            <w:tcBorders>
              <w:top w:val="single" w:sz="2" w:color="FFFFFF"/>
              <w:bottom w:val="single" w:sz="2" w:color="FFFFFF"/>
              <w:left w:val="nil"/>
              <w:right w:val="nil"/>
            </w:tcBorders>
            <w:shd w:val="clear" w:color="auto" w:fill="F7F9FC"/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22"/>
              </w:rPr>
              <w:t>Humiley Group Inc.</w:t>
            </w:r>
          </w:p>
        </w:tc>
      </w:tr>
      <w:tr>
        <w:trPr>
          <w:trHeight w:val="600"/>
        </w:trPr>
        <w:tc>
          <w:tcPr>
            <w:tcW w:w="3200" w:type="dxa"/>
            <w:tcBorders>
              <w:top w:val="single" w:sz="2" w:color="FFFFFF"/>
              <w:bottom w:val="single" w:sz="2" w:color="FFFFFF"/>
              <w:left w:val="nil"/>
              <w:right w:val="nil"/>
            </w:tcBorders>
            <w:shd w:val="clear" w:color="auto" w:fill="F7F9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205090"/>
                <w:sz w:val="22"/>
              </w:rPr>
              <w:t>Approval</w:t>
            </w:r>
          </w:p>
        </w:tc>
        <w:tc>
          <w:tcPr>
            <w:tcW w:w="6149" w:type="dxa"/>
            <w:tcBorders>
              <w:top w:val="single" w:sz="2" w:color="FFFFFF"/>
              <w:bottom w:val="single" w:sz="2" w:color="FFFFFF"/>
              <w:left w:val="nil"/>
              <w:right w:val="nil"/>
            </w:tcBorders>
            <w:shd w:val="clear" w:color="auto" w:fill="F7F9FC"/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22"/>
              </w:rPr>
              <w:t>Tony Nguyen, CEO</w:t>
            </w:r>
          </w:p>
        </w:tc>
      </w:tr>
      <w:tr>
        <w:trPr>
          <w:trHeight w:val="600"/>
        </w:trPr>
        <w:tc>
          <w:tcPr>
            <w:tcW w:w="3200" w:type="dxa"/>
            <w:tcBorders>
              <w:top w:val="single" w:sz="2" w:color="FFFFFF"/>
              <w:bottom w:val="single" w:sz="2" w:color="FFFFFF"/>
              <w:left w:val="nil"/>
              <w:right w:val="nil"/>
            </w:tcBorders>
            <w:shd w:val="clear" w:color="auto" w:fill="F7F9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205090"/>
                <w:sz w:val="22"/>
              </w:rPr>
              <w:t>Distribution</w:t>
            </w:r>
          </w:p>
        </w:tc>
        <w:tc>
          <w:tcPr>
            <w:tcW w:w="6149" w:type="dxa"/>
            <w:tcBorders>
              <w:top w:val="single" w:sz="2" w:color="FFFFFF"/>
              <w:bottom w:val="single" w:sz="2" w:color="FFFFFF"/>
              <w:left w:val="nil"/>
              <w:right w:val="nil"/>
            </w:tcBorders>
            <w:shd w:val="clear" w:color="auto" w:fill="F7F9FC"/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22"/>
              </w:rPr>
              <w:t>All staff</w:t>
            </w:r>
          </w:p>
        </w:tc>
      </w:tr>
      <w:tr>
        <w:trPr>
          <w:trHeight w:val="600"/>
        </w:trPr>
        <w:tc>
          <w:tcPr>
            <w:tcW w:w="3200" w:type="dxa"/>
            <w:tcBorders>
              <w:top w:val="single" w:sz="2" w:color="FFFFFF"/>
              <w:bottom w:val="single" w:sz="2" w:color="FFFFFF"/>
              <w:left w:val="nil"/>
              <w:right w:val="nil"/>
            </w:tcBorders>
            <w:shd w:val="clear" w:color="auto" w:fill="F7F9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205090"/>
                <w:sz w:val="22"/>
              </w:rPr>
              <w:t>Confidentiality</w:t>
            </w:r>
          </w:p>
        </w:tc>
        <w:tc>
          <w:tcPr>
            <w:tcW w:w="6149" w:type="dxa"/>
            <w:tcBorders>
              <w:top w:val="single" w:sz="2" w:color="FFFFFF"/>
              <w:bottom w:val="single" w:sz="2" w:color="FFFFFF"/>
              <w:left w:val="nil"/>
              <w:right w:val="nil"/>
            </w:tcBorders>
            <w:shd w:val="clear" w:color="auto" w:fill="F7F9FC"/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22"/>
              </w:rPr>
              <w:t>Internal</w:t>
            </w:r>
          </w:p>
        </w:tc>
      </w:tr>
    </w:tbl>
    <w:p>
      <w:pPr>
        <w:pBdr>
          <w:bottom w:val="single" w:sz="8" w:space="4" w:color="00B060"/>
        </w:pBdr>
        <w:spacing w:before="480" w:after="60"/>
      </w:pPr>
      <w:r>
        <w:rPr>
          <w:rFonts w:ascii="Calibri" w:hAnsi="Calibri"/>
          <w:b/>
          <w:color w:val="205090"/>
          <w:sz w:val="18"/>
          <w:spacing w:val="20"/>
        </w:rPr>
        <w:t>ABOUT THIS DOCUMENT</w:t>
      </w:r>
    </w:p>
    <w:p>
      <w:pPr>
        <w:spacing w:before="120" w:after="0" w:line="320" w:lineRule="auto"/>
        <w:jc w:val="both"/>
      </w:pPr>
      <w:r>
        <w:rPr>
          <w:rFonts w:ascii="Calibri" w:hAnsi="Calibri"/>
          <w:color w:val="1F2937"/>
          <w:sz w:val="22"/>
        </w:rPr>
        <w:t>This manual is a practical, screen-by-screen guide to the Humiley People &amp; Workplace Portal. Screenshots are taken from the live demonstration dataset. It covers signing in, access levels, HR self-service, the PMC project workspace, CRM, payroll and administration.</w:t>
      </w:r>
    </w:p>
    <w:p>
      <w:pPr>
        <w:spacing w:before="240" w:after="0"/>
      </w:pPr>
    </w:p>
    <w:tbl>
      <w:tblPr>
        <w:tblW w:w="934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500"/>
        <w:gridCol w:w="7849"/>
      </w:tblGrid>
      <w:tr>
        <w:trPr>
          <w:trHeight w:val="1100"/>
        </w:trPr>
        <w:tc>
          <w:tcPr>
            <w:tcW w:w="1500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B5C8E5"/>
                <w:sz w:val="96"/>
              </w:rPr>
              <w:t xml:space="preserve">02</w:t>
            </w:r>
          </w:p>
        </w:tc>
        <w:tc>
          <w:tcPr>
            <w:tcW w:w="7849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205090"/>
                <w:sz w:val="44"/>
              </w:rPr>
              <w:t xml:space="preserve">Signing in &amp; access levels</w:t>
            </w:r>
          </w:p>
        </w:tc>
      </w:tr>
    </w:tbl>
    <w:p>
      <w:pPr>
        <w:pBdr>
          <w:bottom w:val="single" w:sz="18" w:space="1" w:color="00B060"/>
        </w:pBdr>
        <w:tabs>
          <w:tab w:val="left" w:pos="2268"/>
        </w:tabs>
        <w:spacing w:before="60" w:after="240"/>
      </w:pPr>
      <w:r>
        <w:rPr>
          <w:sz w:val="8"/>
        </w:rPr>
        <w:tab/>
      </w:r>
    </w:p>
    <w:p>
      <w:pPr>
        <w:pBdr>
          <w:bottom w:val="single" w:sz="8" w:space="4" w:color="00B060"/>
        </w:pBdr>
        <w:spacing w:before="200" w:after="80"/>
      </w:pPr>
      <w:r>
        <w:rPr>
          <w:rFonts w:ascii="Calibri" w:hAnsi="Calibri"/>
          <w:b/>
          <w:color w:val="205090"/>
          <w:sz w:val="22"/>
          <w:spacing w:val="20"/>
        </w:rPr>
        <w:t xml:space="preserve">HOW TO SIGN IN</w:t>
      </w:r>
    </w:p>
    <w:p>
      <w:pPr>
        <w:numPr>
          <w:ilvl w:val="0"/>
          <w:numId w:val="901"/>
        </w:numPr>
        <w:spacing w:before="20" w:after="40" w:line="300" w:lineRule="auto"/>
      </w:pPr>
      <w:r>
        <w:rPr>
          <w:rFonts w:ascii="Calibri" w:hAnsi="Calibri"/>
          <w:color w:val="1F2937"/>
          <w:sz w:val="22"/>
        </w:rPr>
        <w:t xml:space="preserve">Open the portal URL in your browser.</w:t>
      </w:r>
    </w:p>
    <w:p>
      <w:pPr>
        <w:numPr>
          <w:ilvl w:val="0"/>
          <w:numId w:val="901"/>
        </w:numPr>
        <w:spacing w:before="20" w:after="40" w:line="300" w:lineRule="auto"/>
      </w:pPr>
      <w:r>
        <w:rPr>
          <w:rFonts w:ascii="Calibri" w:hAnsi="Calibri"/>
          <w:color w:val="1F2937"/>
          <w:sz w:val="22"/>
        </w:rPr>
        <w:t xml:space="preserve">Click “Sign in with Microsoft 365” and choose your Humiley account.</w:t>
      </w:r>
    </w:p>
    <w:p>
      <w:pPr>
        <w:numPr>
          <w:ilvl w:val="0"/>
          <w:numId w:val="901"/>
        </w:numPr>
        <w:spacing w:before="20" w:after="40" w:line="300" w:lineRule="auto"/>
      </w:pPr>
      <w:r>
        <w:rPr>
          <w:rFonts w:ascii="Calibri" w:hAnsi="Calibri"/>
          <w:color w:val="1F2937"/>
          <w:sz w:val="22"/>
        </w:rPr>
        <w:t xml:space="preserve">You land on the dashboard for your access level.</w:t>
      </w:r>
    </w:p>
    <w:p>
      <w:pPr>
        <w:spacing w:before="60" w:after="80" w:line="320" w:lineRule="auto"/>
        <w:jc w:val="both"/>
      </w:pPr>
      <w:r>
        <w:rPr>
          <w:rFonts w:ascii="Calibri" w:hAnsi="Calibri"/>
          <w:color w:val="1F2937"/>
          <w:sz w:val="22"/>
        </w:rPr>
        <w:t xml:space="preserve">Access is governed by five cumulative levels — each can do everything the level before it can, plus more. Your administrator sets your level under Access &amp; Permissions.</w:t>
      </w:r>
    </w:p>
    <w:p>
      <w:pPr>
        <w:spacing w:before="40" w:after="40"/>
      </w:pPr>
    </w:p>
    <w:tbl>
      <w:tblPr>
        <w:tblW w:w="934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674"/>
        <w:gridCol w:w="4675"/>
      </w:tblGrid>
      <w:tr>
        <w:trPr>
          <w:trHeight w:val="420"/>
        </w:trPr>
        <w:tc>
          <w:tcPr>
            <w:tcW w:w="4674" w:type="dxa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  <w:shd w:val="clear" w:color="auto" w:fill="20509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Level</w:t>
            </w:r>
          </w:p>
        </w:tc>
        <w:tc>
          <w:tcPr>
            <w:tcW w:w="4675" w:type="dxa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  <w:shd w:val="clear" w:color="auto" w:fill="20509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Can do</w:t>
            </w:r>
          </w:p>
        </w:tc>
      </w:tr>
      <w:tr>
        <w:trPr>
          <w:trHeight w:val="360"/>
        </w:trPr>
        <w:tc>
          <w:tcPr>
            <w:tcW w:w="4674" w:type="dxa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  <w:shd w:val="clear" w:color="auto" w:fill="F7F9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22"/>
              </w:rPr>
              <w:t xml:space="preserve">User</w:t>
            </w:r>
          </w:p>
        </w:tc>
        <w:tc>
          <w:tcPr>
            <w:tcW w:w="4675" w:type="dxa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  <w:shd w:val="clear" w:color="auto" w:fill="F7F9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22"/>
              </w:rPr>
              <w:t xml:space="preserve">Self-service: own profile, attendance, leave, claims, training, plus CRM &amp; assigned projects.</w:t>
            </w:r>
          </w:p>
        </w:tc>
      </w:tr>
      <w:tr>
        <w:trPr>
          <w:trHeight w:val="360"/>
        </w:trPr>
        <w:tc>
          <w:tcPr>
            <w:tcW w:w="4674" w:type="dxa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  <w:shd w:val="clear" w:color="auto" w:fill="F7F9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22"/>
              </w:rPr>
              <w:t xml:space="preserve">Contributor</w:t>
            </w:r>
          </w:p>
        </w:tc>
        <w:tc>
          <w:tcPr>
            <w:tcW w:w="4675" w:type="dxa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  <w:shd w:val="clear" w:color="auto" w:fill="F7F9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22"/>
              </w:rPr>
              <w:t xml:space="preserve">+ approve team requests, People/HR modules, and create projects.</w:t>
            </w:r>
          </w:p>
        </w:tc>
      </w:tr>
      <w:tr>
        <w:trPr>
          <w:trHeight w:val="360"/>
        </w:trPr>
        <w:tc>
          <w:tcPr>
            <w:tcW w:w="4674" w:type="dxa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  <w:shd w:val="clear" w:color="auto" w:fill="F7F9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22"/>
              </w:rPr>
              <w:t xml:space="preserve">Approver</w:t>
            </w:r>
          </w:p>
        </w:tc>
        <w:tc>
          <w:tcPr>
            <w:tcW w:w="4675" w:type="dxa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  <w:shd w:val="clear" w:color="auto" w:fill="F7F9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22"/>
              </w:rPr>
              <w:t xml:space="preserve">+ view Payroll &amp; Finance.</w:t>
            </w:r>
          </w:p>
        </w:tc>
      </w:tr>
      <w:tr>
        <w:trPr>
          <w:trHeight w:val="360"/>
        </w:trPr>
        <w:tc>
          <w:tcPr>
            <w:tcW w:w="4674" w:type="dxa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  <w:shd w:val="clear" w:color="auto" w:fill="F7F9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22"/>
              </w:rPr>
              <w:t xml:space="preserve">Editor</w:t>
            </w:r>
          </w:p>
        </w:tc>
        <w:tc>
          <w:tcPr>
            <w:tcW w:w="4675" w:type="dxa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  <w:shd w:val="clear" w:color="auto" w:fill="F7F9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22"/>
              </w:rPr>
              <w:t xml:space="preserve">+ run / edit Payroll.</w:t>
            </w:r>
          </w:p>
        </w:tc>
      </w:tr>
      <w:tr>
        <w:trPr>
          <w:trHeight w:val="360"/>
        </w:trPr>
        <w:tc>
          <w:tcPr>
            <w:tcW w:w="4674" w:type="dxa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  <w:shd w:val="clear" w:color="auto" w:fill="F7F9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22"/>
              </w:rPr>
              <w:t xml:space="preserve">Admin</w:t>
            </w:r>
          </w:p>
        </w:tc>
        <w:tc>
          <w:tcPr>
            <w:tcW w:w="4675" w:type="dxa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  <w:shd w:val="clear" w:color="auto" w:fill="F7F9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22"/>
              </w:rPr>
              <w:t xml:space="preserve">+ Access &amp; Permissions (assign levels).</w:t>
            </w:r>
          </w:p>
        </w:tc>
      </w:tr>
    </w:tbl>
    <w:p>
      <w:pPr>
        <w:spacing w:before="60" w:after="80" w:line="320" w:lineRule="auto"/>
        <w:jc w:val="center"/>
      </w:pPr>
      <w:r>
        <w:rPr>
          <w:rFonts w:ascii="Calibri" w:hAnsi="Calibri"/>
          <w:color w:val="1F2937"/>
          <w:sz w:val="22"/>
        </w:rPr>
      </w:r>
      <w:r>
        <w:drawing>
          <wp:inline xmlns:a="http://schemas.openxmlformats.org/drawingml/2006/main" xmlns:pic="http://schemas.openxmlformats.org/drawingml/2006/picture">
            <wp:extent cx="5760720" cy="3626808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ermission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6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0"/>
      </w:pPr>
    </w:p>
    <w:tbl>
      <w:tblPr>
        <w:tblW w:w="934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500"/>
        <w:gridCol w:w="7849"/>
      </w:tblGrid>
      <w:tr>
        <w:trPr>
          <w:trHeight w:val="1100"/>
        </w:trPr>
        <w:tc>
          <w:tcPr>
            <w:tcW w:w="1500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B5C8E5"/>
                <w:sz w:val="96"/>
              </w:rPr>
              <w:t xml:space="preserve">03</w:t>
            </w:r>
          </w:p>
        </w:tc>
        <w:tc>
          <w:tcPr>
            <w:tcW w:w="7849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205090"/>
                <w:sz w:val="44"/>
              </w:rPr>
              <w:t xml:space="preserve">Your dashboard &amp; self-service</w:t>
            </w:r>
          </w:p>
        </w:tc>
      </w:tr>
    </w:tbl>
    <w:p>
      <w:pPr>
        <w:pBdr>
          <w:bottom w:val="single" w:sz="18" w:space="1" w:color="00B060"/>
        </w:pBdr>
        <w:tabs>
          <w:tab w:val="left" w:pos="2268"/>
        </w:tabs>
        <w:spacing w:before="60" w:after="240"/>
      </w:pPr>
      <w:r>
        <w:rPr>
          <w:sz w:val="8"/>
        </w:rPr>
        <w:tab/>
      </w:r>
    </w:p>
    <w:p>
      <w:pPr>
        <w:spacing w:before="60" w:after="80" w:line="320" w:lineRule="auto"/>
        <w:jc w:val="both"/>
      </w:pPr>
      <w:r>
        <w:rPr>
          <w:rFonts w:ascii="Calibri" w:hAnsi="Calibri"/>
          <w:color w:val="1F2937"/>
          <w:sz w:val="22"/>
        </w:rPr>
        <w:t xml:space="preserve">The dashboard is a live snapshot of the organisation — headcount, attendance, leave, recruitment and performance — with PowerBI-style charts that update from real data and a department filter. Export the current view to a branded PDF at any time.</w:t>
      </w:r>
    </w:p>
    <w:p>
      <w:pPr>
        <w:numPr>
          <w:ilvl w:val="0"/>
          <w:numId w:val="900"/>
        </w:numPr>
        <w:spacing w:before="20" w:after="40" w:line="300" w:lineRule="auto"/>
      </w:pPr>
      <w:r>
        <w:rPr>
          <w:rFonts w:ascii="Calibri" w:hAnsi="Calibri"/>
          <w:color w:val="1F2937"/>
          <w:sz w:val="22"/>
        </w:rPr>
        <w:t xml:space="preserve">Check in / out and view your attendance.</w:t>
      </w:r>
    </w:p>
    <w:p>
      <w:pPr>
        <w:numPr>
          <w:ilvl w:val="0"/>
          <w:numId w:val="900"/>
        </w:numPr>
        <w:spacing w:before="20" w:after="40" w:line="300" w:lineRule="auto"/>
      </w:pPr>
      <w:r>
        <w:rPr>
          <w:rFonts w:ascii="Calibri" w:hAnsi="Calibri"/>
          <w:color w:val="1F2937"/>
          <w:sz w:val="22"/>
        </w:rPr>
        <w:t xml:space="preserve">Request leave, submit travel-expense claims, set goals and complete training.</w:t>
      </w:r>
    </w:p>
    <w:p>
      <w:pPr>
        <w:numPr>
          <w:ilvl w:val="0"/>
          <w:numId w:val="900"/>
        </w:numPr>
        <w:spacing w:before="20" w:after="40" w:line="300" w:lineRule="auto"/>
      </w:pPr>
      <w:r>
        <w:rPr>
          <w:rFonts w:ascii="Calibri" w:hAnsi="Calibri"/>
          <w:color w:val="1F2937"/>
          <w:sz w:val="22"/>
        </w:rPr>
        <w:t xml:space="preserve">Everything you submit routes to your direct manager for approval.</w:t>
      </w:r>
    </w:p>
    <w:p>
      <w:pPr>
        <w:spacing w:before="60" w:after="80" w:line="320" w:lineRule="auto"/>
        <w:jc w:val="center"/>
      </w:pPr>
      <w:r>
        <w:rPr>
          <w:rFonts w:ascii="Calibri" w:hAnsi="Calibri"/>
          <w:color w:val="1F2937"/>
          <w:sz w:val="22"/>
        </w:rPr>
      </w:r>
      <w:r>
        <w:drawing>
          <wp:inline xmlns:a="http://schemas.openxmlformats.org/drawingml/2006/main" xmlns:pic="http://schemas.openxmlformats.org/drawingml/2006/picture">
            <wp:extent cx="5760720" cy="3626808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mpany_dashboard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6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0"/>
      </w:pPr>
    </w:p>
    <w:tbl>
      <w:tblPr>
        <w:tblW w:w="934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500"/>
        <w:gridCol w:w="7849"/>
      </w:tblGrid>
      <w:tr>
        <w:trPr>
          <w:trHeight w:val="1100"/>
        </w:trPr>
        <w:tc>
          <w:tcPr>
            <w:tcW w:w="1500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B5C8E5"/>
                <w:sz w:val="96"/>
              </w:rPr>
              <w:t xml:space="preserve">04</w:t>
            </w:r>
          </w:p>
        </w:tc>
        <w:tc>
          <w:tcPr>
            <w:tcW w:w="7849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205090"/>
                <w:sz w:val="44"/>
              </w:rPr>
              <w:t xml:space="preserve">People &amp; HR</w:t>
            </w:r>
          </w:p>
        </w:tc>
      </w:tr>
    </w:tbl>
    <w:p>
      <w:pPr>
        <w:pBdr>
          <w:bottom w:val="single" w:sz="18" w:space="1" w:color="00B060"/>
        </w:pBdr>
        <w:tabs>
          <w:tab w:val="left" w:pos="2268"/>
        </w:tabs>
        <w:spacing w:before="60" w:after="240"/>
      </w:pPr>
      <w:r>
        <w:rPr>
          <w:sz w:val="8"/>
        </w:rPr>
        <w:tab/>
      </w:r>
    </w:p>
    <w:p>
      <w:pPr>
        <w:spacing w:before="60" w:after="80" w:line="320" w:lineRule="auto"/>
        <w:jc w:val="both"/>
      </w:pPr>
      <w:r>
        <w:rPr>
          <w:rFonts w:ascii="Calibri" w:hAnsi="Calibri"/>
          <w:color w:val="1F2937"/>
          <w:sz w:val="22"/>
        </w:rPr>
        <w:t xml:space="preserve">Managers and HR maintain the full employee record — role, department, assigned devices and documents — and run recruitment, onboarding, performance (PADR) and talent reviews.</w:t>
      </w:r>
    </w:p>
    <w:p>
      <w:pPr>
        <w:numPr>
          <w:ilvl w:val="0"/>
          <w:numId w:val="900"/>
        </w:numPr>
        <w:spacing w:before="20" w:after="40" w:line="300" w:lineRule="auto"/>
      </w:pPr>
      <w:r>
        <w:rPr>
          <w:rFonts w:ascii="Calibri" w:hAnsi="Calibri"/>
          <w:color w:val="1F2937"/>
          <w:sz w:val="22"/>
        </w:rPr>
        <w:t xml:space="preserve">Add or edit employees; import a batch from Excel/CSV; export for reporting.</w:t>
      </w:r>
    </w:p>
    <w:p>
      <w:pPr>
        <w:numPr>
          <w:ilvl w:val="0"/>
          <w:numId w:val="900"/>
        </w:numPr>
        <w:spacing w:before="20" w:after="40" w:line="300" w:lineRule="auto"/>
      </w:pPr>
      <w:r>
        <w:rPr>
          <w:rFonts w:ascii="Calibri" w:hAnsi="Calibri"/>
          <w:color w:val="1F2937"/>
          <w:sz w:val="22"/>
        </w:rPr>
        <w:t xml:space="preserve">Onboarding checklists sync to the employee’s My Training.</w:t>
      </w:r>
    </w:p>
    <w:p>
      <w:pPr>
        <w:numPr>
          <w:ilvl w:val="0"/>
          <w:numId w:val="900"/>
        </w:numPr>
        <w:spacing w:before="20" w:after="40" w:line="300" w:lineRule="auto"/>
      </w:pPr>
      <w:r>
        <w:rPr>
          <w:rFonts w:ascii="Calibri" w:hAnsi="Calibri"/>
          <w:color w:val="1F2937"/>
          <w:sz w:val="22"/>
        </w:rPr>
        <w:t xml:space="preserve">Sensitive HR data (reviews, talent, exits) is visible to managers only.</w:t>
      </w:r>
    </w:p>
    <w:p>
      <w:pPr>
        <w:spacing w:before="60" w:after="80" w:line="320" w:lineRule="auto"/>
        <w:jc w:val="center"/>
      </w:pPr>
      <w:r>
        <w:rPr>
          <w:rFonts w:ascii="Calibri" w:hAnsi="Calibri"/>
          <w:color w:val="1F2937"/>
          <w:sz w:val="22"/>
        </w:rPr>
      </w:r>
      <w:r>
        <w:drawing>
          <wp:inline xmlns:a="http://schemas.openxmlformats.org/drawingml/2006/main" xmlns:pic="http://schemas.openxmlformats.org/drawingml/2006/picture">
            <wp:extent cx="5760720" cy="3626808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mployee_databas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6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0"/>
      </w:pPr>
    </w:p>
    <w:tbl>
      <w:tblPr>
        <w:tblW w:w="934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500"/>
        <w:gridCol w:w="7849"/>
      </w:tblGrid>
      <w:tr>
        <w:trPr>
          <w:trHeight w:val="1100"/>
        </w:trPr>
        <w:tc>
          <w:tcPr>
            <w:tcW w:w="1500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B5C8E5"/>
                <w:sz w:val="96"/>
              </w:rPr>
              <w:t xml:space="preserve">05</w:t>
            </w:r>
          </w:p>
        </w:tc>
        <w:tc>
          <w:tcPr>
            <w:tcW w:w="7849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205090"/>
                <w:sz w:val="44"/>
              </w:rPr>
              <w:t xml:space="preserve">Payroll &amp; finance</w:t>
            </w:r>
          </w:p>
        </w:tc>
      </w:tr>
    </w:tbl>
    <w:p>
      <w:pPr>
        <w:pBdr>
          <w:bottom w:val="single" w:sz="18" w:space="1" w:color="00B060"/>
        </w:pBdr>
        <w:tabs>
          <w:tab w:val="left" w:pos="2268"/>
        </w:tabs>
        <w:spacing w:before="60" w:after="240"/>
      </w:pPr>
      <w:r>
        <w:rPr>
          <w:sz w:val="8"/>
        </w:rPr>
        <w:tab/>
      </w:r>
    </w:p>
    <w:p>
      <w:pPr>
        <w:spacing w:before="60" w:after="80" w:line="320" w:lineRule="auto"/>
        <w:jc w:val="both"/>
      </w:pPr>
      <w:r>
        <w:rPr>
          <w:rFonts w:ascii="Calibri" w:hAnsi="Calibri"/>
          <w:color w:val="1F2937"/>
          <w:sz w:val="22"/>
        </w:rPr>
        <w:t xml:space="preserve">Payroll computes monthly pay runs with personal income tax, social insurance and employer cost automatically, and keeps history from 2024 for trend analysis.</w:t>
      </w:r>
    </w:p>
    <w:p>
      <w:pPr>
        <w:numPr>
          <w:ilvl w:val="0"/>
          <w:numId w:val="900"/>
        </w:numPr>
        <w:spacing w:before="20" w:after="40" w:line="300" w:lineRule="auto"/>
      </w:pPr>
      <w:r>
        <w:rPr>
          <w:rFonts w:ascii="Calibri" w:hAnsi="Calibri"/>
          <w:color w:val="1F2937"/>
          <w:sz w:val="22"/>
        </w:rPr>
        <w:t xml:space="preserve">Viewing payroll requires Approver level or above.</w:t>
      </w:r>
    </w:p>
    <w:p>
      <w:pPr>
        <w:numPr>
          <w:ilvl w:val="0"/>
          <w:numId w:val="900"/>
        </w:numPr>
        <w:spacing w:before="20" w:after="40" w:line="300" w:lineRule="auto"/>
      </w:pPr>
      <w:r>
        <w:rPr>
          <w:rFonts w:ascii="Calibri" w:hAnsi="Calibri"/>
          <w:color w:val="1F2937"/>
          <w:sz w:val="22"/>
        </w:rPr>
        <w:t xml:space="preserve">Only Editor / Admin can run or edit a pay run.</w:t>
      </w:r>
    </w:p>
    <w:p>
      <w:pPr>
        <w:numPr>
          <w:ilvl w:val="0"/>
          <w:numId w:val="900"/>
        </w:numPr>
        <w:spacing w:before="20" w:after="40" w:line="300" w:lineRule="auto"/>
      </w:pPr>
      <w:r>
        <w:rPr>
          <w:rFonts w:ascii="Calibri" w:hAnsi="Calibri"/>
          <w:color w:val="1F2937"/>
          <w:sz w:val="22"/>
        </w:rPr>
        <w:t xml:space="preserve">Every figure is exportable to a branded report.</w:t>
      </w:r>
    </w:p>
    <w:p>
      <w:pPr>
        <w:spacing w:before="60" w:after="80" w:line="320" w:lineRule="auto"/>
        <w:jc w:val="center"/>
      </w:pPr>
      <w:r>
        <w:rPr>
          <w:rFonts w:ascii="Calibri" w:hAnsi="Calibri"/>
          <w:color w:val="1F2937"/>
          <w:sz w:val="22"/>
        </w:rPr>
      </w:r>
      <w:r>
        <w:drawing>
          <wp:inline xmlns:a="http://schemas.openxmlformats.org/drawingml/2006/main" xmlns:pic="http://schemas.openxmlformats.org/drawingml/2006/picture">
            <wp:extent cx="5760720" cy="3626808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ayroll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6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0"/>
      </w:pPr>
    </w:p>
    <w:tbl>
      <w:tblPr>
        <w:tblW w:w="934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500"/>
        <w:gridCol w:w="7849"/>
      </w:tblGrid>
      <w:tr>
        <w:trPr>
          <w:trHeight w:val="1100"/>
        </w:trPr>
        <w:tc>
          <w:tcPr>
            <w:tcW w:w="1500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B5C8E5"/>
                <w:sz w:val="96"/>
              </w:rPr>
              <w:t xml:space="preserve">06</w:t>
            </w:r>
          </w:p>
        </w:tc>
        <w:tc>
          <w:tcPr>
            <w:tcW w:w="7849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205090"/>
                <w:sz w:val="44"/>
              </w:rPr>
              <w:t xml:space="preserve">PMC — project portfolio &amp; workspace</w:t>
            </w:r>
          </w:p>
        </w:tc>
      </w:tr>
    </w:tbl>
    <w:p>
      <w:pPr>
        <w:pBdr>
          <w:bottom w:val="single" w:sz="18" w:space="1" w:color="00B060"/>
        </w:pBdr>
        <w:tabs>
          <w:tab w:val="left" w:pos="2268"/>
        </w:tabs>
        <w:spacing w:before="60" w:after="240"/>
      </w:pPr>
      <w:r>
        <w:rPr>
          <w:sz w:val="8"/>
        </w:rPr>
        <w:tab/>
      </w:r>
    </w:p>
    <w:p>
      <w:pPr>
        <w:spacing w:before="60" w:after="80" w:line="320" w:lineRule="auto"/>
        <w:jc w:val="both"/>
      </w:pPr>
      <w:r>
        <w:rPr>
          <w:rFonts w:ascii="Calibri" w:hAnsi="Calibri"/>
          <w:color w:val="1F2937"/>
          <w:sz w:val="22"/>
        </w:rPr>
        <w:t xml:space="preserve">The PMC suite manages projects to PMBOK practice. The portfolio shows every project at a glance — contract value, health (RAG), CPI/SPI and milestones. Open a project to enter its workspace, organised into tabs.</w:t>
      </w:r>
    </w:p>
    <w:p>
      <w:pPr>
        <w:spacing w:before="60" w:after="80" w:line="320" w:lineRule="auto"/>
        <w:jc w:val="both"/>
      </w:pPr>
      <w:r>
        <w:rPr>
          <w:rFonts w:ascii="Calibri" w:hAnsi="Calibri"/>
          <w:color w:val="1F2937"/>
          <w:sz w:val="22"/>
        </w:rPr>
        <w:t xml:space="preserve">Staff see only the projects they are assigned to; managers see the whole portfolio.</w:t>
      </w:r>
    </w:p>
    <w:p>
      <w:pPr>
        <w:spacing w:before="60" w:after="80" w:line="320" w:lineRule="auto"/>
        <w:jc w:val="center"/>
      </w:pPr>
      <w:r>
        <w:rPr>
          <w:rFonts w:ascii="Calibri" w:hAnsi="Calibri"/>
          <w:color w:val="1F2937"/>
          <w:sz w:val="22"/>
        </w:rPr>
      </w:r>
      <w:r>
        <w:drawing>
          <wp:inline xmlns:a="http://schemas.openxmlformats.org/drawingml/2006/main" xmlns:pic="http://schemas.openxmlformats.org/drawingml/2006/picture">
            <wp:extent cx="5760720" cy="3626808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mc_portfolio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6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0"/>
      </w:pPr>
    </w:p>
    <w:tbl>
      <w:tblPr>
        <w:tblW w:w="934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500"/>
        <w:gridCol w:w="7849"/>
      </w:tblGrid>
      <w:tr>
        <w:trPr>
          <w:trHeight w:val="1100"/>
        </w:trPr>
        <w:tc>
          <w:tcPr>
            <w:tcW w:w="1500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B5C8E5"/>
                <w:sz w:val="96"/>
              </w:rPr>
              <w:t xml:space="preserve">07</w:t>
            </w:r>
          </w:p>
        </w:tc>
        <w:tc>
          <w:tcPr>
            <w:tcW w:w="7849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205090"/>
                <w:sz w:val="44"/>
              </w:rPr>
              <w:t xml:space="preserve">Project Overview</w:t>
            </w:r>
          </w:p>
        </w:tc>
      </w:tr>
    </w:tbl>
    <w:p>
      <w:pPr>
        <w:pBdr>
          <w:bottom w:val="single" w:sz="18" w:space="1" w:color="00B060"/>
        </w:pBdr>
        <w:tabs>
          <w:tab w:val="left" w:pos="2268"/>
        </w:tabs>
        <w:spacing w:before="60" w:after="240"/>
      </w:pPr>
      <w:r>
        <w:rPr>
          <w:sz w:val="8"/>
        </w:rPr>
        <w:tab/>
      </w:r>
    </w:p>
    <w:p>
      <w:pPr>
        <w:spacing w:before="60" w:after="80" w:line="320" w:lineRule="auto"/>
        <w:jc w:val="both"/>
      </w:pPr>
      <w:r>
        <w:rPr>
          <w:rFonts w:ascii="Calibri" w:hAnsi="Calibri"/>
          <w:color w:val="1F2937"/>
          <w:sz w:val="22"/>
        </w:rPr>
        <w:t xml:space="preserve">The Overview opens with KPI tiles and PowerBI-style charts — cost (EVM), deliverables by status, schedule tasks and risk exposure — followed by the project charter, change-control log and lessons learned.</w:t>
      </w:r>
    </w:p>
    <w:p>
      <w:pPr>
        <w:spacing w:before="60" w:after="80" w:line="320" w:lineRule="auto"/>
        <w:jc w:val="center"/>
      </w:pPr>
      <w:r>
        <w:rPr>
          <w:rFonts w:ascii="Calibri" w:hAnsi="Calibri"/>
          <w:color w:val="1F2937"/>
          <w:sz w:val="22"/>
        </w:rPr>
      </w:r>
      <w:r>
        <w:drawing>
          <wp:inline xmlns:a="http://schemas.openxmlformats.org/drawingml/2006/main" xmlns:pic="http://schemas.openxmlformats.org/drawingml/2006/picture">
            <wp:extent cx="5760720" cy="3626808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m_overview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6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0"/>
      </w:pPr>
    </w:p>
    <w:tbl>
      <w:tblPr>
        <w:tblW w:w="934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500"/>
        <w:gridCol w:w="7849"/>
      </w:tblGrid>
      <w:tr>
        <w:trPr>
          <w:trHeight w:val="1100"/>
        </w:trPr>
        <w:tc>
          <w:tcPr>
            <w:tcW w:w="1500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B5C8E5"/>
                <w:sz w:val="96"/>
              </w:rPr>
              <w:t xml:space="preserve">08</w:t>
            </w:r>
          </w:p>
        </w:tc>
        <w:tc>
          <w:tcPr>
            <w:tcW w:w="7849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205090"/>
                <w:sz w:val="44"/>
              </w:rPr>
              <w:t xml:space="preserve">Schedule (Gantt)</w:t>
            </w:r>
          </w:p>
        </w:tc>
      </w:tr>
    </w:tbl>
    <w:p>
      <w:pPr>
        <w:pBdr>
          <w:bottom w:val="single" w:sz="18" w:space="1" w:color="00B060"/>
        </w:pBdr>
        <w:tabs>
          <w:tab w:val="left" w:pos="2268"/>
        </w:tabs>
        <w:spacing w:before="60" w:after="240"/>
      </w:pPr>
      <w:r>
        <w:rPr>
          <w:sz w:val="8"/>
        </w:rPr>
        <w:tab/>
      </w:r>
    </w:p>
    <w:p>
      <w:pPr>
        <w:spacing w:before="60" w:after="80" w:line="320" w:lineRule="auto"/>
        <w:jc w:val="both"/>
      </w:pPr>
      <w:r>
        <w:rPr>
          <w:rFonts w:ascii="Calibri" w:hAnsi="Calibri"/>
          <w:color w:val="1F2937"/>
          <w:sz w:val="22"/>
        </w:rPr>
        <w:t xml:space="preserve">The Schedule is a Gantt timeline showing tasks, milestones, the critical path and a “today” marker. Filter by all time, a year, a month, or a custom day-to-day range, and export the schedule to PDF.</w:t>
      </w:r>
    </w:p>
    <w:p>
      <w:pPr>
        <w:spacing w:before="60" w:after="80" w:line="320" w:lineRule="auto"/>
        <w:jc w:val="center"/>
      </w:pPr>
      <w:r>
        <w:rPr>
          <w:rFonts w:ascii="Calibri" w:hAnsi="Calibri"/>
          <w:color w:val="1F2937"/>
          <w:sz w:val="22"/>
        </w:rPr>
      </w:r>
      <w:r>
        <w:drawing>
          <wp:inline xmlns:a="http://schemas.openxmlformats.org/drawingml/2006/main" xmlns:pic="http://schemas.openxmlformats.org/drawingml/2006/picture">
            <wp:extent cx="5760720" cy="3626808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m_schedul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6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0"/>
      </w:pPr>
    </w:p>
    <w:tbl>
      <w:tblPr>
        <w:tblW w:w="934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500"/>
        <w:gridCol w:w="7849"/>
      </w:tblGrid>
      <w:tr>
        <w:trPr>
          <w:trHeight w:val="1100"/>
        </w:trPr>
        <w:tc>
          <w:tcPr>
            <w:tcW w:w="1500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B5C8E5"/>
                <w:sz w:val="96"/>
              </w:rPr>
              <w:t xml:space="preserve">09</w:t>
            </w:r>
          </w:p>
        </w:tc>
        <w:tc>
          <w:tcPr>
            <w:tcW w:w="7849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205090"/>
                <w:sz w:val="44"/>
              </w:rPr>
              <w:t xml:space="preserve">Cost &amp; Earned Value (EVM)</w:t>
            </w:r>
          </w:p>
        </w:tc>
      </w:tr>
    </w:tbl>
    <w:p>
      <w:pPr>
        <w:pBdr>
          <w:bottom w:val="single" w:sz="18" w:space="1" w:color="00B060"/>
        </w:pBdr>
        <w:tabs>
          <w:tab w:val="left" w:pos="2268"/>
        </w:tabs>
        <w:spacing w:before="60" w:after="240"/>
      </w:pPr>
      <w:r>
        <w:rPr>
          <w:sz w:val="8"/>
        </w:rPr>
        <w:tab/>
      </w:r>
    </w:p>
    <w:p>
      <w:pPr>
        <w:spacing w:before="60" w:after="80" w:line="320" w:lineRule="auto"/>
        <w:jc w:val="both"/>
      </w:pPr>
      <w:r>
        <w:rPr>
          <w:rFonts w:ascii="Calibri" w:hAnsi="Calibri"/>
          <w:color w:val="1F2937"/>
          <w:sz w:val="22"/>
        </w:rPr>
        <w:t xml:space="preserve">Cost tracks budget vs committed vs actual by category and computes earned-value metrics — CPI, SPI and the forecast at completion (EAC) — to give an early warning on cost and schedule performance.</w:t>
      </w:r>
    </w:p>
    <w:p>
      <w:pPr>
        <w:spacing w:before="60" w:after="80" w:line="320" w:lineRule="auto"/>
        <w:jc w:val="center"/>
      </w:pPr>
      <w:r>
        <w:rPr>
          <w:rFonts w:ascii="Calibri" w:hAnsi="Calibri"/>
          <w:color w:val="1F2937"/>
          <w:sz w:val="22"/>
        </w:rPr>
      </w:r>
      <w:r>
        <w:drawing>
          <wp:inline xmlns:a="http://schemas.openxmlformats.org/drawingml/2006/main" xmlns:pic="http://schemas.openxmlformats.org/drawingml/2006/picture">
            <wp:extent cx="5760720" cy="3626808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m_cost_evm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6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0"/>
      </w:pPr>
    </w:p>
    <w:tbl>
      <w:tblPr>
        <w:tblW w:w="934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500"/>
        <w:gridCol w:w="7849"/>
      </w:tblGrid>
      <w:tr>
        <w:trPr>
          <w:trHeight w:val="1100"/>
        </w:trPr>
        <w:tc>
          <w:tcPr>
            <w:tcW w:w="1500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B5C8E5"/>
                <w:sz w:val="96"/>
              </w:rPr>
              <w:t xml:space="preserve">10</w:t>
            </w:r>
          </w:p>
        </w:tc>
        <w:tc>
          <w:tcPr>
            <w:tcW w:w="7849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205090"/>
                <w:sz w:val="44"/>
              </w:rPr>
              <w:t xml:space="preserve">Risk register &amp; heatmap</w:t>
            </w:r>
          </w:p>
        </w:tc>
      </w:tr>
    </w:tbl>
    <w:p>
      <w:pPr>
        <w:pBdr>
          <w:bottom w:val="single" w:sz="18" w:space="1" w:color="00B060"/>
        </w:pBdr>
        <w:tabs>
          <w:tab w:val="left" w:pos="2268"/>
        </w:tabs>
        <w:spacing w:before="60" w:after="240"/>
      </w:pPr>
      <w:r>
        <w:rPr>
          <w:sz w:val="8"/>
        </w:rPr>
        <w:tab/>
      </w:r>
    </w:p>
    <w:p>
      <w:pPr>
        <w:spacing w:before="60" w:after="80" w:line="320" w:lineRule="auto"/>
        <w:jc w:val="both"/>
      </w:pPr>
      <w:r>
        <w:rPr>
          <w:rFonts w:ascii="Calibri" w:hAnsi="Calibri"/>
          <w:color w:val="1F2937"/>
          <w:sz w:val="22"/>
        </w:rPr>
        <w:t xml:space="preserve">Risks are scored on a probability × impact heatmap and banded automatically from Low to Critical. The register can be filtered by category, response strategy, owner, contractor or status.</w:t>
      </w:r>
    </w:p>
    <w:p>
      <w:pPr>
        <w:spacing w:before="60" w:after="80" w:line="320" w:lineRule="auto"/>
        <w:jc w:val="center"/>
      </w:pPr>
      <w:r>
        <w:rPr>
          <w:rFonts w:ascii="Calibri" w:hAnsi="Calibri"/>
          <w:color w:val="1F2937"/>
          <w:sz w:val="22"/>
        </w:rPr>
      </w:r>
      <w:r>
        <w:drawing>
          <wp:inline xmlns:a="http://schemas.openxmlformats.org/drawingml/2006/main" xmlns:pic="http://schemas.openxmlformats.org/drawingml/2006/picture">
            <wp:extent cx="5760720" cy="3626808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pm_risk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6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0"/>
      </w:pPr>
    </w:p>
    <w:tbl>
      <w:tblPr>
        <w:tblW w:w="934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500"/>
        <w:gridCol w:w="7849"/>
      </w:tblGrid>
      <w:tr>
        <w:trPr>
          <w:trHeight w:val="1100"/>
        </w:trPr>
        <w:tc>
          <w:tcPr>
            <w:tcW w:w="1500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B5C8E5"/>
                <w:sz w:val="96"/>
              </w:rPr>
              <w:t xml:space="preserve">11</w:t>
            </w:r>
          </w:p>
        </w:tc>
        <w:tc>
          <w:tcPr>
            <w:tcW w:w="7849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205090"/>
                <w:sz w:val="44"/>
              </w:rPr>
              <w:t xml:space="preserve">Quality &amp; Inspection-Test Plans</w:t>
            </w:r>
          </w:p>
        </w:tc>
      </w:tr>
    </w:tbl>
    <w:p>
      <w:pPr>
        <w:pBdr>
          <w:bottom w:val="single" w:sz="18" w:space="1" w:color="00B060"/>
        </w:pBdr>
        <w:tabs>
          <w:tab w:val="left" w:pos="2268"/>
        </w:tabs>
        <w:spacing w:before="60" w:after="240"/>
      </w:pPr>
      <w:r>
        <w:rPr>
          <w:sz w:val="8"/>
        </w:rPr>
        <w:tab/>
      </w:r>
    </w:p>
    <w:p>
      <w:pPr>
        <w:spacing w:before="60" w:after="80" w:line="320" w:lineRule="auto"/>
        <w:jc w:val="both"/>
      </w:pPr>
      <w:r>
        <w:rPr>
          <w:rFonts w:ascii="Calibri" w:hAnsi="Calibri"/>
          <w:color w:val="1F2937"/>
          <w:sz w:val="22"/>
        </w:rPr>
        <w:t xml:space="preserve">The quality register captures inspections, NCRs, audits and tests. Inspection &amp; Test Plans (ITP) appear on a timeline with planned start/finish dates and a day-range filter.</w:t>
      </w:r>
    </w:p>
    <w:p>
      <w:pPr>
        <w:spacing w:before="60" w:after="80" w:line="320" w:lineRule="auto"/>
        <w:jc w:val="center"/>
      </w:pPr>
      <w:r>
        <w:rPr>
          <w:rFonts w:ascii="Calibri" w:hAnsi="Calibri"/>
          <w:color w:val="1F2937"/>
          <w:sz w:val="22"/>
        </w:rPr>
      </w:r>
      <w:r>
        <w:drawing>
          <wp:inline xmlns:a="http://schemas.openxmlformats.org/drawingml/2006/main" xmlns:pic="http://schemas.openxmlformats.org/drawingml/2006/picture">
            <wp:extent cx="5760720" cy="3626808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pm_quality_itp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6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0"/>
      </w:pPr>
    </w:p>
    <w:tbl>
      <w:tblPr>
        <w:tblW w:w="934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500"/>
        <w:gridCol w:w="7849"/>
      </w:tblGrid>
      <w:tr>
        <w:trPr>
          <w:trHeight w:val="1100"/>
        </w:trPr>
        <w:tc>
          <w:tcPr>
            <w:tcW w:w="1500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B5C8E5"/>
                <w:sz w:val="96"/>
              </w:rPr>
              <w:t xml:space="preserve">12</w:t>
            </w:r>
          </w:p>
        </w:tc>
        <w:tc>
          <w:tcPr>
            <w:tcW w:w="7849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205090"/>
                <w:sz w:val="44"/>
              </w:rPr>
              <w:t xml:space="preserve">Procurement, contracts &amp; stakeholders</w:t>
            </w:r>
          </w:p>
        </w:tc>
      </w:tr>
    </w:tbl>
    <w:p>
      <w:pPr>
        <w:pBdr>
          <w:bottom w:val="single" w:sz="18" w:space="1" w:color="00B060"/>
        </w:pBdr>
        <w:tabs>
          <w:tab w:val="left" w:pos="2268"/>
        </w:tabs>
        <w:spacing w:before="60" w:after="240"/>
      </w:pPr>
      <w:r>
        <w:rPr>
          <w:sz w:val="8"/>
        </w:rPr>
        <w:tab/>
      </w:r>
    </w:p>
    <w:p>
      <w:pPr>
        <w:spacing w:before="60" w:after="80" w:line="320" w:lineRule="auto"/>
        <w:jc w:val="both"/>
      </w:pPr>
      <w:r>
        <w:rPr>
          <w:rFonts w:ascii="Calibri" w:hAnsi="Calibri"/>
          <w:color w:val="1F2937"/>
          <w:sz w:val="22"/>
        </w:rPr>
        <w:t xml:space="preserve">Procurement records subcontract packages, vendors, values, retention and interim payment certificates (IPC). Cost and procurement edits are restricted to managers.</w:t>
      </w:r>
    </w:p>
    <w:p>
      <w:pPr>
        <w:spacing w:before="60" w:after="80" w:line="320" w:lineRule="auto"/>
        <w:jc w:val="center"/>
      </w:pPr>
      <w:r>
        <w:rPr>
          <w:rFonts w:ascii="Calibri" w:hAnsi="Calibri"/>
          <w:color w:val="1F2937"/>
          <w:sz w:val="22"/>
        </w:rPr>
      </w:r>
      <w:r>
        <w:drawing>
          <wp:inline xmlns:a="http://schemas.openxmlformats.org/drawingml/2006/main" xmlns:pic="http://schemas.openxmlformats.org/drawingml/2006/picture">
            <wp:extent cx="5760720" cy="3626808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pm_procurement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6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80" w:line="320" w:lineRule="auto"/>
        <w:jc w:val="both"/>
      </w:pPr>
      <w:r>
        <w:rPr>
          <w:rFonts w:ascii="Calibri" w:hAnsi="Calibri"/>
          <w:color w:val="1F2937"/>
          <w:sz w:val="22"/>
        </w:rPr>
        <w:t xml:space="preserve">Stakeholders are mapped on a Mendelow power / interest grid so the team can plan engagement by quadrant, tracking influence, interest and attitude.</w:t>
      </w:r>
    </w:p>
    <w:p>
      <w:pPr>
        <w:spacing w:before="60" w:after="80" w:line="320" w:lineRule="auto"/>
        <w:jc w:val="center"/>
      </w:pPr>
      <w:r>
        <w:rPr>
          <w:rFonts w:ascii="Calibri" w:hAnsi="Calibri"/>
          <w:color w:val="1F2937"/>
          <w:sz w:val="22"/>
        </w:rPr>
      </w:r>
      <w:r>
        <w:drawing>
          <wp:inline xmlns:a="http://schemas.openxmlformats.org/drawingml/2006/main" xmlns:pic="http://schemas.openxmlformats.org/drawingml/2006/picture">
            <wp:extent cx="5760720" cy="3626808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pm_stakeholders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6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0"/>
      </w:pPr>
    </w:p>
    <w:tbl>
      <w:tblPr>
        <w:tblW w:w="934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500"/>
        <w:gridCol w:w="7849"/>
      </w:tblGrid>
      <w:tr>
        <w:trPr>
          <w:trHeight w:val="1100"/>
        </w:trPr>
        <w:tc>
          <w:tcPr>
            <w:tcW w:w="1500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B5C8E5"/>
                <w:sz w:val="96"/>
              </w:rPr>
              <w:t xml:space="preserve">13</w:t>
            </w:r>
          </w:p>
        </w:tc>
        <w:tc>
          <w:tcPr>
            <w:tcW w:w="7849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205090"/>
                <w:sz w:val="44"/>
              </w:rPr>
              <w:t xml:space="preserve">Documents (SharePoint)</w:t>
            </w:r>
          </w:p>
        </w:tc>
      </w:tr>
    </w:tbl>
    <w:p>
      <w:pPr>
        <w:pBdr>
          <w:bottom w:val="single" w:sz="18" w:space="1" w:color="00B060"/>
        </w:pBdr>
        <w:tabs>
          <w:tab w:val="left" w:pos="2268"/>
        </w:tabs>
        <w:spacing w:before="60" w:after="240"/>
      </w:pPr>
      <w:r>
        <w:rPr>
          <w:sz w:val="8"/>
        </w:rPr>
        <w:tab/>
      </w:r>
    </w:p>
    <w:p>
      <w:pPr>
        <w:pBdr>
          <w:bottom w:val="single" w:sz="8" w:space="4" w:color="00B060"/>
        </w:pBdr>
        <w:spacing w:before="200" w:after="80"/>
      </w:pPr>
      <w:r>
        <w:rPr>
          <w:rFonts w:ascii="Calibri" w:hAnsi="Calibri"/>
          <w:b/>
          <w:color w:val="205090"/>
          <w:sz w:val="22"/>
          <w:spacing w:val="20"/>
        </w:rPr>
        <w:t xml:space="preserve">BUILD THE PROJECT FOLDERS</w:t>
      </w:r>
    </w:p>
    <w:p>
      <w:pPr>
        <w:numPr>
          <w:ilvl w:val="0"/>
          <w:numId w:val="901"/>
        </w:numPr>
        <w:spacing w:before="20" w:after="40" w:line="300" w:lineRule="auto"/>
      </w:pPr>
      <w:r>
        <w:rPr>
          <w:rFonts w:ascii="Calibri" w:hAnsi="Calibri"/>
          <w:color w:val="1F2937"/>
          <w:sz w:val="22"/>
        </w:rPr>
        <w:t xml:space="preserve">Open the project, click Edit, and paste the project’s SharePoint document-library link into “SharePoint docs folder”.</w:t>
      </w:r>
    </w:p>
    <w:p>
      <w:pPr>
        <w:numPr>
          <w:ilvl w:val="0"/>
          <w:numId w:val="901"/>
        </w:numPr>
        <w:spacing w:before="20" w:after="40" w:line="300" w:lineRule="auto"/>
      </w:pPr>
      <w:r>
        <w:rPr>
          <w:rFonts w:ascii="Calibri" w:hAnsi="Calibri"/>
          <w:color w:val="1F2937"/>
          <w:sz w:val="22"/>
        </w:rPr>
        <w:t xml:space="preserve">Click Save &amp; build folders — when signed in with Microsoft 365, the standard 50-folder PMC structure is created in SharePoint automatically.</w:t>
      </w:r>
    </w:p>
    <w:p>
      <w:pPr>
        <w:numPr>
          <w:ilvl w:val="0"/>
          <w:numId w:val="901"/>
        </w:numPr>
        <w:spacing w:before="20" w:after="40" w:line="300" w:lineRule="auto"/>
      </w:pPr>
      <w:r>
        <w:rPr>
          <w:rFonts w:ascii="Calibri" w:hAnsi="Calibri"/>
          <w:color w:val="1F2937"/>
          <w:sz w:val="22"/>
        </w:rPr>
        <w:t xml:space="preserve">Browse every folder in the Documents tab; each is a one-click link straight into SharePoint.</w:t>
      </w:r>
    </w:p>
    <w:p>
      <w:pPr>
        <w:spacing w:before="60" w:after="80" w:line="320" w:lineRule="auto"/>
        <w:jc w:val="both"/>
      </w:pPr>
      <w:r>
        <w:rPr>
          <w:rFonts w:ascii="Calibri" w:hAnsi="Calibri"/>
          <w:color w:val="1F2937"/>
          <w:sz w:val="22"/>
        </w:rPr>
        <w:t xml:space="preserve">The folder list carries owner, confidentiality and retention for each folder. SharePoint permissions are managed by IT.</w:t>
      </w:r>
    </w:p>
    <w:p>
      <w:pPr>
        <w:spacing w:before="60" w:after="80" w:line="320" w:lineRule="auto"/>
        <w:jc w:val="center"/>
      </w:pPr>
      <w:r>
        <w:rPr>
          <w:rFonts w:ascii="Calibri" w:hAnsi="Calibri"/>
          <w:color w:val="1F2937"/>
          <w:sz w:val="22"/>
        </w:rPr>
      </w:r>
      <w:r>
        <w:drawing>
          <wp:inline xmlns:a="http://schemas.openxmlformats.org/drawingml/2006/main" xmlns:pic="http://schemas.openxmlformats.org/drawingml/2006/picture">
            <wp:extent cx="5760720" cy="3626808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pm_documents_sharepoint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6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0"/>
      </w:pPr>
    </w:p>
    <w:tbl>
      <w:tblPr>
        <w:tblW w:w="934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500"/>
        <w:gridCol w:w="7849"/>
      </w:tblGrid>
      <w:tr>
        <w:trPr>
          <w:trHeight w:val="1100"/>
        </w:trPr>
        <w:tc>
          <w:tcPr>
            <w:tcW w:w="1500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B5C8E5"/>
                <w:sz w:val="96"/>
              </w:rPr>
              <w:t xml:space="preserve">14</w:t>
            </w:r>
          </w:p>
        </w:tc>
        <w:tc>
          <w:tcPr>
            <w:tcW w:w="7849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205090"/>
                <w:sz w:val="44"/>
              </w:rPr>
              <w:t xml:space="preserve">Sales pipeline (CRM)</w:t>
            </w:r>
          </w:p>
        </w:tc>
      </w:tr>
    </w:tbl>
    <w:p>
      <w:pPr>
        <w:pBdr>
          <w:bottom w:val="single" w:sz="18" w:space="1" w:color="00B060"/>
        </w:pBdr>
        <w:tabs>
          <w:tab w:val="left" w:pos="2268"/>
        </w:tabs>
        <w:spacing w:before="60" w:after="240"/>
      </w:pPr>
      <w:r>
        <w:rPr>
          <w:sz w:val="8"/>
        </w:rPr>
        <w:tab/>
      </w:r>
    </w:p>
    <w:p>
      <w:pPr>
        <w:spacing w:before="60" w:after="80" w:line="320" w:lineRule="auto"/>
        <w:jc w:val="both"/>
      </w:pPr>
      <w:r>
        <w:rPr>
          <w:rFonts w:ascii="Calibri" w:hAnsi="Calibri"/>
          <w:color w:val="1F2937"/>
          <w:sz w:val="22"/>
        </w:rPr>
        <w:t xml:space="preserve">CRM tracks deals by stage with value and probability, alongside companies, contacts and products. A Won deal can be converted into a PMC project in a single click (Contributor level or above).</w:t>
      </w:r>
    </w:p>
    <w:p>
      <w:pPr>
        <w:spacing w:before="60" w:after="80" w:line="320" w:lineRule="auto"/>
        <w:jc w:val="center"/>
      </w:pPr>
      <w:r>
        <w:rPr>
          <w:rFonts w:ascii="Calibri" w:hAnsi="Calibri"/>
          <w:color w:val="1F2937"/>
          <w:sz w:val="22"/>
        </w:rPr>
      </w:r>
      <w:r>
        <w:drawing>
          <wp:inline xmlns:a="http://schemas.openxmlformats.org/drawingml/2006/main" xmlns:pic="http://schemas.openxmlformats.org/drawingml/2006/picture">
            <wp:extent cx="5760720" cy="3626808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crm_pipelin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6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0"/>
      </w:pPr>
    </w:p>
    <w:tbl>
      <w:tblPr>
        <w:tblW w:w="934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500"/>
        <w:gridCol w:w="7849"/>
      </w:tblGrid>
      <w:tr>
        <w:trPr>
          <w:trHeight w:val="1100"/>
        </w:trPr>
        <w:tc>
          <w:tcPr>
            <w:tcW w:w="1500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B5C8E5"/>
                <w:sz w:val="96"/>
              </w:rPr>
              <w:t xml:space="preserve">15</w:t>
            </w:r>
          </w:p>
        </w:tc>
        <w:tc>
          <w:tcPr>
            <w:tcW w:w="7849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205090"/>
                <w:sz w:val="44"/>
              </w:rPr>
              <w:t xml:space="preserve">Working in English or Vietnamese</w:t>
            </w:r>
          </w:p>
        </w:tc>
      </w:tr>
    </w:tbl>
    <w:p>
      <w:pPr>
        <w:pBdr>
          <w:bottom w:val="single" w:sz="18" w:space="1" w:color="00B060"/>
        </w:pBdr>
        <w:tabs>
          <w:tab w:val="left" w:pos="2268"/>
        </w:tabs>
        <w:spacing w:before="60" w:after="240"/>
      </w:pPr>
      <w:r>
        <w:rPr>
          <w:sz w:val="8"/>
        </w:rPr>
        <w:tab/>
      </w:r>
    </w:p>
    <w:p>
      <w:pPr>
        <w:spacing w:before="60" w:after="80" w:line="320" w:lineRule="auto"/>
        <w:jc w:val="both"/>
      </w:pPr>
      <w:r>
        <w:rPr>
          <w:rFonts w:ascii="Calibri" w:hAnsi="Calibri"/>
          <w:color w:val="1F2937"/>
          <w:sz w:val="22"/>
        </w:rPr>
        <w:t xml:space="preserve">Switch the entire portal between English and Vietnamese using the EN / VN flag in the top bar. Labels, menus, tables and chart legends all translate.</w:t>
      </w:r>
    </w:p>
    <w:p>
      <w:pPr>
        <w:spacing w:before="60" w:after="80" w:line="320" w:lineRule="auto"/>
        <w:jc w:val="center"/>
      </w:pPr>
      <w:r>
        <w:rPr>
          <w:rFonts w:ascii="Calibri" w:hAnsi="Calibri"/>
          <w:color w:val="1F2937"/>
          <w:sz w:val="22"/>
        </w:rPr>
      </w:r>
      <w:r>
        <w:drawing>
          <wp:inline xmlns:a="http://schemas.openxmlformats.org/drawingml/2006/main" xmlns:pic="http://schemas.openxmlformats.org/drawingml/2006/picture">
            <wp:extent cx="5760720" cy="3626808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vietnamese_dashboard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6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0"/>
      </w:pPr>
    </w:p>
    <w:tbl>
      <w:tblPr>
        <w:tblW w:w="934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500"/>
        <w:gridCol w:w="7849"/>
      </w:tblGrid>
      <w:tr>
        <w:trPr>
          <w:trHeight w:val="1100"/>
        </w:trPr>
        <w:tc>
          <w:tcPr>
            <w:tcW w:w="1500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B5C8E5"/>
                <w:sz w:val="96"/>
              </w:rPr>
              <w:t xml:space="preserve">16</w:t>
            </w:r>
          </w:p>
        </w:tc>
        <w:tc>
          <w:tcPr>
            <w:tcW w:w="7849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205090"/>
                <w:sz w:val="44"/>
              </w:rPr>
              <w:t xml:space="preserve">English – Vietnamese glossary</w:t>
            </w:r>
          </w:p>
        </w:tc>
      </w:tr>
    </w:tbl>
    <w:p>
      <w:pPr>
        <w:pBdr>
          <w:bottom w:val="single" w:sz="18" w:space="1" w:color="00B060"/>
        </w:pBdr>
        <w:tabs>
          <w:tab w:val="left" w:pos="2268"/>
        </w:tabs>
        <w:spacing w:before="60" w:after="240"/>
      </w:pPr>
      <w:r>
        <w:rPr>
          <w:sz w:val="8"/>
        </w:rPr>
        <w:tab/>
      </w:r>
    </w:p>
    <w:p>
      <w:pPr>
        <w:spacing w:before="40" w:after="40"/>
      </w:pPr>
    </w:p>
    <w:tbl>
      <w:tblPr>
        <w:tblW w:w="934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674"/>
        <w:gridCol w:w="4675"/>
      </w:tblGrid>
      <w:tr>
        <w:trPr>
          <w:trHeight w:val="420"/>
        </w:trPr>
        <w:tc>
          <w:tcPr>
            <w:tcW w:w="4674" w:type="dxa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  <w:shd w:val="clear" w:color="auto" w:fill="20509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English</w:t>
            </w:r>
          </w:p>
        </w:tc>
        <w:tc>
          <w:tcPr>
            <w:tcW w:w="4675" w:type="dxa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  <w:shd w:val="clear" w:color="auto" w:fill="205090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Tiếng Việt</w:t>
            </w:r>
          </w:p>
        </w:tc>
      </w:tr>
      <w:tr>
        <w:trPr>
          <w:trHeight w:val="360"/>
        </w:trPr>
        <w:tc>
          <w:tcPr>
            <w:tcW w:w="4674" w:type="dxa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  <w:shd w:val="clear" w:color="auto" w:fill="F7F9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22"/>
              </w:rPr>
              <w:t xml:space="preserve">Dashboard</w:t>
            </w:r>
          </w:p>
        </w:tc>
        <w:tc>
          <w:tcPr>
            <w:tcW w:w="4675" w:type="dxa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  <w:shd w:val="clear" w:color="auto" w:fill="F7F9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22"/>
              </w:rPr>
              <w:t xml:space="preserve">Bảng điều khiển</w:t>
            </w:r>
          </w:p>
        </w:tc>
      </w:tr>
      <w:tr>
        <w:trPr>
          <w:trHeight w:val="360"/>
        </w:trPr>
        <w:tc>
          <w:tcPr>
            <w:tcW w:w="4674" w:type="dxa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  <w:shd w:val="clear" w:color="auto" w:fill="F7F9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22"/>
              </w:rPr>
              <w:t xml:space="preserve">Attendance</w:t>
            </w:r>
          </w:p>
        </w:tc>
        <w:tc>
          <w:tcPr>
            <w:tcW w:w="4675" w:type="dxa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  <w:shd w:val="clear" w:color="auto" w:fill="F7F9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22"/>
              </w:rPr>
              <w:t xml:space="preserve">Chấm công</w:t>
            </w:r>
          </w:p>
        </w:tc>
      </w:tr>
      <w:tr>
        <w:trPr>
          <w:trHeight w:val="360"/>
        </w:trPr>
        <w:tc>
          <w:tcPr>
            <w:tcW w:w="4674" w:type="dxa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  <w:shd w:val="clear" w:color="auto" w:fill="F7F9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22"/>
              </w:rPr>
              <w:t xml:space="preserve">Leave</w:t>
            </w:r>
          </w:p>
        </w:tc>
        <w:tc>
          <w:tcPr>
            <w:tcW w:w="4675" w:type="dxa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  <w:shd w:val="clear" w:color="auto" w:fill="F7F9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22"/>
              </w:rPr>
              <w:t xml:space="preserve">Nghỉ phép</w:t>
            </w:r>
          </w:p>
        </w:tc>
      </w:tr>
      <w:tr>
        <w:trPr>
          <w:trHeight w:val="360"/>
        </w:trPr>
        <w:tc>
          <w:tcPr>
            <w:tcW w:w="4674" w:type="dxa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  <w:shd w:val="clear" w:color="auto" w:fill="F7F9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22"/>
              </w:rPr>
              <w:t xml:space="preserve">Payroll</w:t>
            </w:r>
          </w:p>
        </w:tc>
        <w:tc>
          <w:tcPr>
            <w:tcW w:w="4675" w:type="dxa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  <w:shd w:val="clear" w:color="auto" w:fill="F7F9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22"/>
              </w:rPr>
              <w:t xml:space="preserve">Lương</w:t>
            </w:r>
          </w:p>
        </w:tc>
      </w:tr>
      <w:tr>
        <w:trPr>
          <w:trHeight w:val="360"/>
        </w:trPr>
        <w:tc>
          <w:tcPr>
            <w:tcW w:w="4674" w:type="dxa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  <w:shd w:val="clear" w:color="auto" w:fill="F7F9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22"/>
              </w:rPr>
              <w:t xml:space="preserve">Project</w:t>
            </w:r>
          </w:p>
        </w:tc>
        <w:tc>
          <w:tcPr>
            <w:tcW w:w="4675" w:type="dxa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  <w:shd w:val="clear" w:color="auto" w:fill="F7F9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22"/>
              </w:rPr>
              <w:t xml:space="preserve">Dự án</w:t>
            </w:r>
          </w:p>
        </w:tc>
      </w:tr>
      <w:tr>
        <w:trPr>
          <w:trHeight w:val="360"/>
        </w:trPr>
        <w:tc>
          <w:tcPr>
            <w:tcW w:w="4674" w:type="dxa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  <w:shd w:val="clear" w:color="auto" w:fill="F7F9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22"/>
              </w:rPr>
              <w:t xml:space="preserve">Schedule</w:t>
            </w:r>
          </w:p>
        </w:tc>
        <w:tc>
          <w:tcPr>
            <w:tcW w:w="4675" w:type="dxa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  <w:shd w:val="clear" w:color="auto" w:fill="F7F9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22"/>
              </w:rPr>
              <w:t xml:space="preserve">Tiến độ</w:t>
            </w:r>
          </w:p>
        </w:tc>
      </w:tr>
      <w:tr>
        <w:trPr>
          <w:trHeight w:val="360"/>
        </w:trPr>
        <w:tc>
          <w:tcPr>
            <w:tcW w:w="4674" w:type="dxa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  <w:shd w:val="clear" w:color="auto" w:fill="F7F9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22"/>
              </w:rPr>
              <w:t xml:space="preserve">Cost / EVM</w:t>
            </w:r>
          </w:p>
        </w:tc>
        <w:tc>
          <w:tcPr>
            <w:tcW w:w="4675" w:type="dxa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  <w:shd w:val="clear" w:color="auto" w:fill="F7F9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22"/>
              </w:rPr>
              <w:t xml:space="preserve">Chi phí / EVM</w:t>
            </w:r>
          </w:p>
        </w:tc>
      </w:tr>
      <w:tr>
        <w:trPr>
          <w:trHeight w:val="360"/>
        </w:trPr>
        <w:tc>
          <w:tcPr>
            <w:tcW w:w="4674" w:type="dxa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  <w:shd w:val="clear" w:color="auto" w:fill="F7F9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22"/>
              </w:rPr>
              <w:t xml:space="preserve">Risk</w:t>
            </w:r>
          </w:p>
        </w:tc>
        <w:tc>
          <w:tcPr>
            <w:tcW w:w="4675" w:type="dxa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  <w:shd w:val="clear" w:color="auto" w:fill="F7F9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22"/>
              </w:rPr>
              <w:t xml:space="preserve">Rủi ro</w:t>
            </w:r>
          </w:p>
        </w:tc>
      </w:tr>
      <w:tr>
        <w:trPr>
          <w:trHeight w:val="360"/>
        </w:trPr>
        <w:tc>
          <w:tcPr>
            <w:tcW w:w="4674" w:type="dxa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  <w:shd w:val="clear" w:color="auto" w:fill="F7F9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22"/>
              </w:rPr>
              <w:t xml:space="preserve">Quality</w:t>
            </w:r>
          </w:p>
        </w:tc>
        <w:tc>
          <w:tcPr>
            <w:tcW w:w="4675" w:type="dxa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  <w:shd w:val="clear" w:color="auto" w:fill="F7F9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22"/>
              </w:rPr>
              <w:t xml:space="preserve">Chất lượng</w:t>
            </w:r>
          </w:p>
        </w:tc>
      </w:tr>
      <w:tr>
        <w:trPr>
          <w:trHeight w:val="360"/>
        </w:trPr>
        <w:tc>
          <w:tcPr>
            <w:tcW w:w="4674" w:type="dxa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  <w:shd w:val="clear" w:color="auto" w:fill="F7F9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22"/>
              </w:rPr>
              <w:t xml:space="preserve">Procurement</w:t>
            </w:r>
          </w:p>
        </w:tc>
        <w:tc>
          <w:tcPr>
            <w:tcW w:w="4675" w:type="dxa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  <w:shd w:val="clear" w:color="auto" w:fill="F7F9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22"/>
              </w:rPr>
              <w:t xml:space="preserve">Mua sắm</w:t>
            </w:r>
          </w:p>
        </w:tc>
      </w:tr>
      <w:tr>
        <w:trPr>
          <w:trHeight w:val="360"/>
        </w:trPr>
        <w:tc>
          <w:tcPr>
            <w:tcW w:w="4674" w:type="dxa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  <w:shd w:val="clear" w:color="auto" w:fill="F7F9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22"/>
              </w:rPr>
              <w:t xml:space="preserve">Stakeholders</w:t>
            </w:r>
          </w:p>
        </w:tc>
        <w:tc>
          <w:tcPr>
            <w:tcW w:w="4675" w:type="dxa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  <w:shd w:val="clear" w:color="auto" w:fill="F7F9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22"/>
              </w:rPr>
              <w:t xml:space="preserve">Bên liên quan</w:t>
            </w:r>
          </w:p>
        </w:tc>
      </w:tr>
      <w:tr>
        <w:trPr>
          <w:trHeight w:val="360"/>
        </w:trPr>
        <w:tc>
          <w:tcPr>
            <w:tcW w:w="4674" w:type="dxa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  <w:shd w:val="clear" w:color="auto" w:fill="F7F9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22"/>
              </w:rPr>
              <w:t xml:space="preserve">Documents</w:t>
            </w:r>
          </w:p>
        </w:tc>
        <w:tc>
          <w:tcPr>
            <w:tcW w:w="4675" w:type="dxa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  <w:shd w:val="clear" w:color="auto" w:fill="F7F9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22"/>
              </w:rPr>
              <w:t xml:space="preserve">Tài liệu</w:t>
            </w:r>
          </w:p>
        </w:tc>
      </w:tr>
      <w:tr>
        <w:trPr>
          <w:trHeight w:val="360"/>
        </w:trPr>
        <w:tc>
          <w:tcPr>
            <w:tcW w:w="4674" w:type="dxa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  <w:shd w:val="clear" w:color="auto" w:fill="F7F9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22"/>
              </w:rPr>
              <w:t xml:space="preserve">Pipeline</w:t>
            </w:r>
          </w:p>
        </w:tc>
        <w:tc>
          <w:tcPr>
            <w:tcW w:w="4675" w:type="dxa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  <w:shd w:val="clear" w:color="auto" w:fill="F7F9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22"/>
              </w:rPr>
              <w:t xml:space="preserve">Quy trình bán hàng</w:t>
            </w:r>
          </w:p>
        </w:tc>
      </w:tr>
      <w:tr>
        <w:trPr>
          <w:trHeight w:val="360"/>
        </w:trPr>
        <w:tc>
          <w:tcPr>
            <w:tcW w:w="4674" w:type="dxa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  <w:shd w:val="clear" w:color="auto" w:fill="F7F9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22"/>
              </w:rPr>
              <w:t xml:space="preserve">Access &amp; Permissions</w:t>
            </w:r>
          </w:p>
        </w:tc>
        <w:tc>
          <w:tcPr>
            <w:tcW w:w="4675" w:type="dxa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  <w:shd w:val="clear" w:color="auto" w:fill="F7F9F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937"/>
                <w:sz w:val="22"/>
              </w:rPr>
              <w:t xml:space="preserve">Phân quyền</w:t>
            </w:r>
          </w:p>
        </w:tc>
      </w:tr>
    </w:tbl>
    <w:p>
      <w:pPr>
        <w:spacing w:before="240" w:after="0"/>
      </w:pPr>
    </w:p>
    <w:tbl>
      <w:tblPr>
        <w:tblW w:w="934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500"/>
        <w:gridCol w:w="7849"/>
      </w:tblGrid>
      <w:tr>
        <w:trPr>
          <w:trHeight w:val="1100"/>
        </w:trPr>
        <w:tc>
          <w:tcPr>
            <w:tcW w:w="1500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B5C8E5"/>
                <w:sz w:val="96"/>
              </w:rPr>
              <w:t xml:space="preserve">17</w:t>
            </w:r>
          </w:p>
        </w:tc>
        <w:tc>
          <w:tcPr>
            <w:tcW w:w="7849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205090"/>
                <w:sz w:val="44"/>
              </w:rPr>
              <w:t xml:space="preserve">Administration &amp; data safety</w:t>
            </w:r>
          </w:p>
        </w:tc>
      </w:tr>
    </w:tbl>
    <w:p>
      <w:pPr>
        <w:pBdr>
          <w:bottom w:val="single" w:sz="18" w:space="1" w:color="00B060"/>
        </w:pBdr>
        <w:tabs>
          <w:tab w:val="left" w:pos="2268"/>
        </w:tabs>
        <w:spacing w:before="60" w:after="240"/>
      </w:pPr>
      <w:r>
        <w:rPr>
          <w:sz w:val="8"/>
        </w:rPr>
        <w:tab/>
      </w:r>
    </w:p>
    <w:p>
      <w:pPr>
        <w:numPr>
          <w:ilvl w:val="0"/>
          <w:numId w:val="900"/>
        </w:numPr>
        <w:spacing w:before="20" w:after="40" w:line="300" w:lineRule="auto"/>
      </w:pPr>
      <w:r>
        <w:rPr>
          <w:rFonts w:ascii="Calibri" w:hAnsi="Calibri"/>
          <w:color w:val="1F2937"/>
          <w:sz w:val="22"/>
        </w:rPr>
        <w:t xml:space="preserve">Updates replace only the application code — the database (timekeeping.db) is never overwritten, so all data is preserved.</w:t>
      </w:r>
    </w:p>
    <w:p>
      <w:pPr>
        <w:numPr>
          <w:ilvl w:val="0"/>
          <w:numId w:val="900"/>
        </w:numPr>
        <w:spacing w:before="20" w:after="40" w:line="300" w:lineRule="auto"/>
      </w:pPr>
      <w:r>
        <w:rPr>
          <w:rFonts w:ascii="Calibri" w:hAnsi="Calibri"/>
          <w:color w:val="1F2937"/>
          <w:sz w:val="22"/>
        </w:rPr>
        <w:t xml:space="preserve">Keep the database on a persistent volume and back it up before each update.</w:t>
      </w:r>
    </w:p>
    <w:p>
      <w:pPr>
        <w:numPr>
          <w:ilvl w:val="0"/>
          <w:numId w:val="900"/>
        </w:numPr>
        <w:spacing w:before="20" w:after="40" w:line="300" w:lineRule="auto"/>
      </w:pPr>
      <w:r>
        <w:rPr>
          <w:rFonts w:ascii="Calibri" w:hAnsi="Calibri"/>
          <w:color w:val="1F2937"/>
          <w:sz w:val="22"/>
        </w:rPr>
        <w:t xml:space="preserve">Access levels and module access are managed under Access &amp; Permissions; changes apply at the user’s next sign-in.</w:t>
      </w:r>
    </w:p>
    <w:sectPr>
      <w:headerReference w:type="default" r:id="rIdHdr"/>
      <w:footerReference w:type="default" r:id="rIdFtr"/>
      <w:pgSz w:w="11901" w:h="16840"/>
      <w:pgMar w:top="1134" w:right="851" w:bottom="1134" w:left="1701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EF122" w14:textId="77777777" w:rsidR="00A420A5" w:rsidRDefault="00A420A5">
      <w:pPr>
        <w:spacing w:after="0" w:line="240" w:lineRule="auto"/>
      </w:pPr>
      <w:r>
        <w:separator/>
      </w:r>
    </w:p>
  </w:endnote>
  <w:endnote w:type="continuationSeparator" w:id="0">
    <w:p w14:paraId="77277C2D" w14:textId="77777777" w:rsidR="00A420A5" w:rsidRDefault="00A420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17B55" w14:textId="77777777" w:rsidR="00736B3E" w:rsidRDefault="00000000">
    <w:pPr>
      <w:pBdr>
        <w:top w:val="single" w:sz="6" w:space="4" w:color="D5DAE3"/>
      </w:pBdr>
      <w:spacing w:after="80" w:line="240" w:lineRule="auto"/>
    </w:pPr>
    <w:r>
      <w:rPr>
        <w:color w:val="FFFFFF"/>
        <w:sz w:val="4"/>
      </w:rPr>
      <w:t xml:space="preserve"> </w:t>
    </w:r>
  </w:p>
  <w:tbl>
    <w:tblPr>
      <w:tblW w:w="0" w:type="auto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2041"/>
      <w:gridCol w:w="5556"/>
      <w:gridCol w:w="2041"/>
    </w:tblGrid>
    <w:tr w:rsidR="00736B3E" w14:paraId="261BE471" w14:textId="77777777">
      <w:tc>
        <w:tcPr>
          <w:tcW w:w="2041" w:type="dxa"/>
          <w:tcMar>
            <w:top w:w="40" w:type="dxa"/>
            <w:left w:w="0" w:type="dxa"/>
            <w:bottom w:w="40" w:type="dxa"/>
            <w:right w:w="0" w:type="dxa"/>
          </w:tcMar>
        </w:tcPr>
        <w:p w14:paraId="76F5456A" w14:textId="77777777" w:rsidR="00736B3E" w:rsidRDefault="00000000">
          <w:pPr>
            <w:spacing w:after="0" w:line="240" w:lineRule="auto"/>
          </w:pPr>
          <w:r>
            <w:rPr>
              <w:noProof/>
            </w:rPr>
            <w:drawing>
              <wp:inline distT="0" distB="0" distL="0" distR="0" wp14:anchorId="7453F9CE" wp14:editId="54A345F3">
                <wp:extent cx="719835" cy="2520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HML_logo2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9835" cy="25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56" w:type="dxa"/>
          <w:tcMar>
            <w:top w:w="40" w:type="dxa"/>
            <w:left w:w="0" w:type="dxa"/>
            <w:bottom w:w="40" w:type="dxa"/>
            <w:right w:w="0" w:type="dxa"/>
          </w:tcMar>
        </w:tcPr>
        <w:p w14:paraId="3A74F609" w14:textId="77777777" w:rsidR="00736B3E" w:rsidRDefault="00000000">
          <w:pPr>
            <w:spacing w:after="0" w:line="252" w:lineRule="auto"/>
            <w:jc w:val="center"/>
          </w:pPr>
          <w:r>
            <w:rPr>
              <w:b/>
              <w:color w:val="205090"/>
              <w:sz w:val="18"/>
            </w:rPr>
            <w:t xml:space="preserve"/>
          </w:r>
          <w:proofErr w:type="gramStart"/>
          <w:r>
            <w:rPr>
              <w:b/>
              <w:color w:val="205090"/>
              <w:sz w:val="18"/>
            </w:rPr>
            <w:t>[ Humiley Portal — User Manual ]</w:t>
          </w:r>
          <w:proofErr w:type="gramEnd"/>
        </w:p>
      </w:tc>
      <w:tc>
        <w:tcPr>
          <w:tcW w:w="2041" w:type="dxa"/>
          <w:tcMar>
            <w:top w:w="40" w:type="dxa"/>
            <w:left w:w="0" w:type="dxa"/>
            <w:bottom w:w="40" w:type="dxa"/>
            <w:right w:w="0" w:type="dxa"/>
          </w:tcMar>
        </w:tcPr>
        <w:p w14:paraId="340F7AC8" w14:textId="77777777" w:rsidR="00736B3E" w:rsidRDefault="00000000">
          <w:pPr>
            <w:spacing w:after="0" w:line="252" w:lineRule="auto"/>
            <w:jc w:val="right"/>
          </w:pPr>
          <w:r>
            <w:rPr>
              <w:b/>
              <w:color w:val="205090"/>
              <w:sz w:val="18"/>
            </w:rPr>
            <w:t xml:space="preserve">Page </w:t>
          </w:r>
          <w:r>
            <w:rPr>
              <w:b/>
              <w:color w:val="205090"/>
              <w:sz w:val="18"/>
              <w:szCs w:val="18"/>
            </w:rPr>
            <w:fldChar w:fldCharType="begin"/>
          </w:r>
          <w:r>
            <w:rPr>
              <w:b/>
              <w:color w:val="205090"/>
              <w:sz w:val="18"/>
              <w:szCs w:val="18"/>
            </w:rPr>
            <w:instrText xml:space="preserve"> PAGE </w:instrText>
          </w:r>
          <w:r>
            <w:rPr>
              <w:b/>
              <w:color w:val="205090"/>
              <w:sz w:val="18"/>
              <w:szCs w:val="18"/>
            </w:rPr>
            <w:fldChar w:fldCharType="separate"/>
          </w:r>
          <w:r>
            <w:rPr>
              <w:b/>
              <w:color w:val="205090"/>
              <w:sz w:val="18"/>
              <w:szCs w:val="18"/>
            </w:rPr>
            <w:t>1</w:t>
          </w:r>
          <w:r>
            <w:rPr>
              <w:b/>
              <w:color w:val="205090"/>
              <w:sz w:val="18"/>
              <w:szCs w:val="18"/>
            </w:rPr>
            <w:fldChar w:fldCharType="end"/>
          </w:r>
          <w:r>
            <w:rPr>
              <w:b/>
              <w:color w:val="205090"/>
              <w:sz w:val="18"/>
            </w:rPr>
            <w:t xml:space="preserve"> / </w:t>
          </w:r>
          <w:r>
            <w:rPr>
              <w:b/>
              <w:color w:val="205090"/>
              <w:sz w:val="18"/>
              <w:szCs w:val="18"/>
            </w:rPr>
            <w:fldChar w:fldCharType="begin"/>
          </w:r>
          <w:r>
            <w:rPr>
              <w:b/>
              <w:color w:val="205090"/>
              <w:sz w:val="18"/>
              <w:szCs w:val="18"/>
            </w:rPr>
            <w:instrText xml:space="preserve"> NUMPAGES </w:instrText>
          </w:r>
          <w:r>
            <w:rPr>
              <w:b/>
              <w:color w:val="205090"/>
              <w:sz w:val="18"/>
              <w:szCs w:val="18"/>
            </w:rPr>
            <w:fldChar w:fldCharType="separate"/>
          </w:r>
          <w:r>
            <w:rPr>
              <w:b/>
              <w:color w:val="205090"/>
              <w:sz w:val="18"/>
              <w:szCs w:val="18"/>
            </w:rPr>
            <w:t>1</w:t>
          </w:r>
          <w:r>
            <w:rPr>
              <w:b/>
              <w:color w:val="205090"/>
              <w:sz w:val="18"/>
              <w:szCs w:val="18"/>
            </w:rPr>
            <w:fldChar w:fldCharType="end"/>
          </w:r>
        </w:p>
        <w:p w14:paraId="50E61762" w14:textId="77777777" w:rsidR="00736B3E" w:rsidRDefault="00000000">
          <w:pPr>
            <w:spacing w:after="0" w:line="240" w:lineRule="auto"/>
            <w:jc w:val="right"/>
          </w:pPr>
          <w:r>
            <w:rPr>
              <w:color w:val="5C6470"/>
              <w:sz w:val="14"/>
            </w:rPr>
            <w:t>[ HML-MAN-0001  Rev 01.0 ]</w:t>
          </w:r>
          <w:proofErr w:type="gramStart"/>
          <w:r>
            <w:rPr>
              <w:color w:val="5C6470"/>
              <w:sz w:val="14"/>
            </w:rPr>
            <w:t/>
          </w:r>
          <w:proofErr w:type="gramEnd"/>
          <w:r>
            <w:rPr>
              <w:color w:val="5C6470"/>
              <w:sz w:val="14"/>
            </w:rPr>
            <w:t xml:space="preserve"> </w:t>
          </w:r>
          <w:proofErr w:type="gramStart"/>
          <w:r>
            <w:rPr>
              <w:color w:val="5C6470"/>
              <w:sz w:val="14"/>
            </w:rPr>
            <w:t/>
          </w:r>
          <w:proofErr w:type="gramEnd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8BA11" w14:textId="77777777" w:rsidR="00A420A5" w:rsidRDefault="00A420A5">
      <w:pPr>
        <w:spacing w:after="0" w:line="240" w:lineRule="auto"/>
      </w:pPr>
      <w:r>
        <w:separator/>
      </w:r>
    </w:p>
  </w:footnote>
  <w:footnote w:type="continuationSeparator" w:id="0">
    <w:p w14:paraId="2F9081FB" w14:textId="77777777" w:rsidR="00A420A5" w:rsidRDefault="00A420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1701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2268"/>
      <w:gridCol w:w="1587"/>
      <w:gridCol w:w="5783"/>
    </w:tblGrid>
    <w:tr w:rsidR="00736B3E" w14:paraId="3C7B020B" w14:textId="77777777" w:rsidTr="00850A83">
      <w:trPr>
        <w:trHeight w:hRule="exact" w:val="136"/>
      </w:trPr>
      <w:tc>
        <w:tcPr>
          <w:tcW w:w="2268" w:type="dxa"/>
          <w:shd w:val="clear" w:color="auto" w:fill="00B060"/>
          <w:tcMar>
            <w:top w:w="0" w:type="dxa"/>
            <w:left w:w="0" w:type="dxa"/>
            <w:bottom w:w="0" w:type="dxa"/>
            <w:right w:w="0" w:type="dxa"/>
          </w:tcMar>
        </w:tcPr>
        <w:p w14:paraId="7D76F308" w14:textId="77777777" w:rsidR="00736B3E" w:rsidRDefault="00736B3E">
          <w:pPr>
            <w:spacing w:after="0" w:line="240" w:lineRule="auto"/>
          </w:pPr>
        </w:p>
      </w:tc>
      <w:tc>
        <w:tcPr>
          <w:tcW w:w="1587" w:type="dxa"/>
          <w:shd w:val="clear" w:color="auto" w:fill="205090"/>
          <w:tcMar>
            <w:top w:w="0" w:type="dxa"/>
            <w:left w:w="0" w:type="dxa"/>
            <w:bottom w:w="0" w:type="dxa"/>
            <w:right w:w="0" w:type="dxa"/>
          </w:tcMar>
        </w:tcPr>
        <w:p w14:paraId="57567935" w14:textId="77777777" w:rsidR="00736B3E" w:rsidRDefault="00736B3E">
          <w:pPr>
            <w:spacing w:after="0" w:line="240" w:lineRule="auto"/>
          </w:pPr>
        </w:p>
      </w:tc>
      <w:tc>
        <w:tcPr>
          <w:tcW w:w="5783" w:type="dxa"/>
          <w:tcMar>
            <w:top w:w="0" w:type="dxa"/>
            <w:left w:w="0" w:type="dxa"/>
            <w:bottom w:w="0" w:type="dxa"/>
            <w:right w:w="0" w:type="dxa"/>
          </w:tcMar>
        </w:tcPr>
        <w:p w14:paraId="2B74D779" w14:textId="77777777" w:rsidR="00736B3E" w:rsidRDefault="00736B3E">
          <w:pPr>
            <w:spacing w:after="0" w:line="240" w:lineRule="auto"/>
          </w:pP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00B060"/>
      </w:rPr>
    </w:lvl>
  </w:abstractNum>
  <w:abstractNum w:abstractNumId="901">
    <w:multiLevelType w:val="hybridMultilevel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color w:val="205090"/>
      </w:rPr>
    </w:lvl>
  </w:abstractNum>
  <w:num w:numId="1" w16cid:durableId="987436749">
    <w:abstractNumId w:val="8"/>
  </w:num>
  <w:num w:numId="2" w16cid:durableId="604729802">
    <w:abstractNumId w:val="6"/>
  </w:num>
  <w:num w:numId="3" w16cid:durableId="112408235">
    <w:abstractNumId w:val="5"/>
  </w:num>
  <w:num w:numId="4" w16cid:durableId="1160659298">
    <w:abstractNumId w:val="4"/>
  </w:num>
  <w:num w:numId="5" w16cid:durableId="732390488">
    <w:abstractNumId w:val="7"/>
  </w:num>
  <w:num w:numId="6" w16cid:durableId="1228229747">
    <w:abstractNumId w:val="3"/>
  </w:num>
  <w:num w:numId="7" w16cid:durableId="159394773">
    <w:abstractNumId w:val="2"/>
  </w:num>
  <w:num w:numId="8" w16cid:durableId="815997059">
    <w:abstractNumId w:val="1"/>
  </w:num>
  <w:num w:numId="9" w16cid:durableId="1407147633">
    <w:abstractNumId w:val="0"/>
  </w:num>
  <w:num w:numId="900">
    <w:abstractNumId w:val="900"/>
  </w:num>
  <w:num w:numId="901">
    <w:abstractNumId w:val="9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1F09"/>
    <w:rsid w:val="00736B3E"/>
    <w:rsid w:val="00850A83"/>
    <w:rsid w:val="00A420A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8E00727"/>
  <w14:defaultImageDpi w14:val="300"/>
  <w15:docId w15:val="{46F4BC75-B260-D54F-BEF8-55F8164E5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F293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LogoCover" Type="http://schemas.openxmlformats.org/officeDocument/2006/relationships/image" Target="media/logo_cover.png"/><Relationship Id="rIdHdr" Type="http://schemas.openxmlformats.org/officeDocument/2006/relationships/header" Target="header1.xml"/><Relationship Id="rIdFtr" Type="http://schemas.openxmlformats.org/officeDocument/2006/relationships/footer" Target="footer1.xml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Huy Nguyen Duc</cp:lastModifiedBy>
  <cp:revision>2</cp:revision>
  <dcterms:created xsi:type="dcterms:W3CDTF">2013-12-23T23:15:00Z</dcterms:created>
  <dcterms:modified xsi:type="dcterms:W3CDTF">2026-04-27T06:50:00Z</dcterms:modified>
  <cp:category/>
</cp:coreProperties>
</file>