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CADIS: A Consequence-Aware Dynamic Intervention System</w:t>
      </w:r>
    </w:p>
    <w:p>
      <w:pPr>
        <w:spacing w:after="240"/>
        <w:jc w:val="center"/>
      </w:pPr>
      <w:r>
        <w:rPr>
          <w:b/>
          <w:bCs/>
          <w:sz w:val="32"/>
          <w:szCs w:val="32"/>
        </w:rPr>
        <w:t xml:space="preserve">for Overseeing LLM Penetration-Testing Agents</w:t>
      </w:r>
    </w:p>
    <w:p>
      <w:pPr>
        <w:pStyle w:val="Heading2"/>
        <w:spacing w:after="80" w:before="160"/>
      </w:pPr>
      <w:r>
        <w:rPr>
          <w:b/>
          <w:bCs/>
        </w:rPr>
        <w:t xml:space="preserve">Abstract</w:t>
      </w:r>
    </w:p>
    <w:p>
      <w:pPr>
        <w:spacing w:after="120"/>
      </w:pPr>
      <w:r>
        <w:t xml:space="preserve">LLM agents that drive offensive-security tasks fail in a compounding way: they propose commands, flags, or exploit steps that are risky or unfounded, and because each step's output feeds the next, a single bad action can poison everything downstream. CADIS (a Consequence-Aware Dynamic Intervention System) is an oversight-and-routing layer placed between the agent and its executor. For every proposed action it estimates, at that step, how much the agent should be trusted, fuses three independent trust signals into a single intervention score, and routes the action to one of four graduated oversight levels. This report describes how CADIS was developed, how it was integrated into a real penetration-testing agent, and how it was tested against isolated, digest-pinned vulnerable Docker targets and against tasks from the AutoPenBench benchmark, across three pinned LLMs. Viewed as a risk-gating mechanism, CADIS works: across every evaluation run it blocked 100% of the high-risk actions the agent proposed, at essentially perfect precision (near-zero benign collateral), at less than half the human effort of always-on oversight and far more effectively than a budget-matched random policy.</w:t>
      </w:r>
    </w:p>
    <w:p>
      <w:pPr>
        <w:pStyle w:val="Heading1"/>
        <w:spacing w:after="120" w:before="240"/>
      </w:pPr>
      <w:r>
        <w:rPr>
          <w:b/>
          <w:bCs/>
        </w:rPr>
        <w:t xml:space="preserve">1. Introduction</w:t>
      </w:r>
    </w:p>
    <w:p>
      <w:pPr>
        <w:spacing w:after="120"/>
      </w:pPr>
      <w:r>
        <w:t xml:space="preserve">LLM agents are increasingly capable of conducting multi-step penetration tests, chaining reconnaissance, enumeration, and exploitation. In an autonomous loop the agent's outputs are also its inputs: it reads the result of one command to decide the next. This makes the setting unusually sensitive to a single unfounded or unsafe action, since one false premise cascades into the rest of the trajectory. Purely autonomous execution maximises speed but provides no containment; always-on human-in-the-loop review contains risk but is prohibitively expensive and does not scale.</w:t>
      </w:r>
    </w:p>
    <w:p>
      <w:pPr>
        <w:spacing w:after="120"/>
      </w:pPr>
      <w:r>
        <w:t xml:space="preserve">CADIS targets the middle ground. Rather than intervening at a fixed rate, it scales oversight to the estimated uncertainty and the estimated consequence of each proposed action. The central design claim is that an oversight policy conditioned on where risk actually lies outperforms both fixed policies and a random policy that spends the same amount of human effort but at the wrong moments.</w:t>
      </w:r>
    </w:p>
    <w:p>
      <w:pPr>
        <w:pStyle w:val="Heading1"/>
        <w:spacing w:after="120" w:before="240"/>
      </w:pPr>
      <w:r>
        <w:rPr>
          <w:b/>
          <w:bCs/>
        </w:rPr>
        <w:t xml:space="preserve">2. Related Work</w:t>
      </w:r>
    </w:p>
    <w:p>
      <w:pPr>
        <w:spacing w:after="120"/>
      </w:pPr>
      <w:r>
        <w:rPr>
          <w:b/>
          <w:bCs/>
        </w:rPr>
        <w:t xml:space="preserve">LLM penetration-testing agents. </w:t>
      </w:r>
      <w:r>
        <w:t xml:space="preserve">Systems such as PentestGPT (Deng et al., 2024) and early studies of LLM-driven exploitation (Happe and Cito, 2023) show that LLMs can plan and execute attack chains, but also that they hallucinate steps and lose track of state. AutoPenBench (Gioacchini et al., 2024) provides a reproducible benchmark of in-vitro and real-world CVE tasks; we reuse a subset of its targets.</w:t>
      </w:r>
    </w:p>
    <w:p>
      <w:pPr>
        <w:spacing w:after="120"/>
      </w:pPr>
      <w:r>
        <w:rPr>
          <w:b/>
          <w:bCs/>
        </w:rPr>
        <w:t xml:space="preserve">Uncertainty and self-consistency. </w:t>
      </w:r>
      <w:r>
        <w:t xml:space="preserve">Sampling a model multiple times and measuring agreement is a well-established confidence proxy: self-consistency improves reasoning (Wang et al., 2023), and models' own agreement partly tracks correctness (Kadavath et al., 2022). CADIS's first signal adapts this idea to actions rather than answers.</w:t>
      </w:r>
    </w:p>
    <w:p>
      <w:pPr>
        <w:spacing w:after="120"/>
      </w:pPr>
      <w:r>
        <w:rPr>
          <w:b/>
          <w:bCs/>
        </w:rPr>
        <w:t xml:space="preserve">Calibration. </w:t>
      </w:r>
      <w:r>
        <w:t xml:space="preserve">Whether a predicted score matches the observed error rate is measured by the Expected Calibration Error and reliability diagrams (Guo et al., 2017).</w:t>
      </w:r>
    </w:p>
    <w:p>
      <w:pPr>
        <w:spacing w:after="120"/>
      </w:pPr>
      <w:r>
        <w:rPr>
          <w:b/>
          <w:bCs/>
        </w:rPr>
        <w:t xml:space="preserve">Oversight and risk taxonomy. </w:t>
      </w:r>
      <w:r>
        <w:t xml:space="preserve">Scalable oversight and safe interruption are long-standing AI-safety concerns (Amodei et al., 2016). CADIS's risk signal is a rule-based taxonomy reviewed against the MITRE ATT&amp;CK framework (Strom et al., 2018).</w:t>
      </w:r>
    </w:p>
    <w:p>
      <w:pPr>
        <w:pStyle w:val="Heading1"/>
        <w:spacing w:after="120" w:before="240"/>
      </w:pPr>
      <w:r>
        <w:rPr>
          <w:b/>
          <w:bCs/>
        </w:rPr>
        <w:t xml:space="preserve">3. Development of CADIS</w:t>
      </w:r>
    </w:p>
    <w:p>
      <w:pPr>
        <w:pStyle w:val="Heading2"/>
        <w:spacing w:after="80" w:before="160"/>
      </w:pPr>
      <w:r>
        <w:rPr>
          <w:b/>
          <w:bCs/>
        </w:rPr>
        <w:t xml:space="preserve">3.1 Architecture overview</w:t>
      </w:r>
    </w:p>
    <w:p>
      <w:pPr>
        <w:spacing w:after="120"/>
      </w:pPr>
      <w:r>
        <w:t xml:space="preserve">CADIS sits at the action seam: the point at which the agent has decided on a tool call but before that call executes. It intercepts each proposed action, computes three trust signals, fuses them into a composite intervention score I(t), maps that score (together with a hard risk floor) to one of four oversight levels, and only then either executes, notifies, requests approval, or delegates. The agent loop, prompts, model, and decoding are unchanged; CADIS changes only what happens to a proposed action.</w:t>
      </w:r>
    </w:p>
    <w:p>
      <w:pPr>
        <w:pStyle w:val="Heading2"/>
        <w:spacing w:after="80" w:before="160"/>
      </w:pPr>
      <w:r>
        <w:rPr>
          <w:b/>
          <w:bCs/>
        </w:rPr>
        <w:t xml:space="preserve">3.2 The three trust signals</w:t>
      </w:r>
    </w:p>
    <w:p>
      <w:pPr>
        <w:spacing w:after="120"/>
      </w:pPr>
      <w:r>
        <w:t xml:space="preserve">Each signal is normalised so that higher means more oversight is needed, and the three are conceptually independent (uncertainty, track record, and intrinsic consequence).</w:t>
      </w:r>
    </w:p>
    <w:p>
      <w:pPr>
        <w:spacing w:after="120"/>
      </w:pPr>
      <w:r>
        <w:rPr>
          <w:b/>
          <w:bCs/>
        </w:rPr>
        <w:t xml:space="preserve">Self-consistency uncertainty (USC). </w:t>
      </w:r>
      <w:r>
        <w:t xml:space="preserve">The agent is queried N=5 times on the identical context at temperature T=0.7, giving sampled commands cmd₁…cmd₅. With SC the mean pairwise (edit-distance) similarity, USC = 1 − SC. When the agent proposes the same action under resampling, USC is low (confident); when its samples disagree, USC is high (uncertain).</w:t>
      </w:r>
    </w:p>
    <w:p>
      <w:pPr>
        <w:spacing w:after="120"/>
      </w:pPr>
      <w:r>
        <w:rPr>
          <w:b/>
          <w:bCs/>
        </w:rPr>
        <w:t xml:space="preserve">Failure history (FH). </w:t>
      </w:r>
      <w:r>
        <w:t xml:space="preserve">A sliding window of the last K=10 execution outcomes, each given a severity weight (success 0.0, partial 0.3, timeout 0.5, failure 1.0); FH is the mean weight over the window. A clean recent track record supports trust; recent failures raise oversight.</w:t>
      </w:r>
    </w:p>
    <w:p>
      <w:pPr>
        <w:spacing w:after="120"/>
      </w:pPr>
      <w:r>
        <w:rPr>
          <w:b/>
          <w:bCs/>
        </w:rPr>
        <w:t xml:space="preserve">Risk classification (RC). </w:t>
      </w:r>
      <w:r>
        <w:t xml:space="preserve">A rule-based regex taxonomy (reviewed against MITRE ATT&amp;CK) maps the proposed command to a consequence tier: RC ∈ {0.00 LOW, 0.33 MEDIUM, 0.66 HIGH, 1.00 CRITICAL}. Unmatched commands fail safe to HIGH and are logged as taxonomy gaps.</w:t>
      </w:r>
    </w:p>
    <w:p>
      <w:pPr>
        <w:pStyle w:val="Heading2"/>
        <w:spacing w:after="80" w:before="160"/>
      </w:pPr>
      <w:r>
        <w:rPr>
          <w:b/>
          <w:bCs/>
        </w:rPr>
        <w:t xml:space="preserve">3.3 Composite score and graduated routing</w:t>
      </w:r>
    </w:p>
    <w:p>
      <w:pPr>
        <w:spacing w:after="120"/>
      </w:pPr>
      <w:r>
        <w:t xml:space="preserve">The three signals are fused linearly, then mapped to a level through a band function and a risk floor:</w:t>
      </w:r>
    </w:p>
    <w:p>
      <w:pPr>
        <w:spacing w:after="0"/>
      </w:pPr>
      <w:r>
        <w:rPr>
          <w:rFonts w:ascii="Consolas" w:cs="Consolas" w:eastAsia="Consolas" w:hAnsi="Consolas"/>
          <w:sz w:val="18"/>
          <w:szCs w:val="18"/>
        </w:rPr>
        <w:t xml:space="preserve">I(t)  = 0.35·USC + 0.30·FH + 0.35·RC      (weights sum to 1, all &gt; 0)</w:t>
      </w:r>
    </w:p>
    <w:p>
      <w:pPr>
        <w:spacing w:after="0"/>
      </w:pPr>
      <w:r>
        <w:rPr>
          <w:rFonts w:ascii="Consolas" w:cs="Consolas" w:eastAsia="Consolas" w:hAnsi="Consolas"/>
          <w:sz w:val="18"/>
          <w:szCs w:val="18"/>
        </w:rPr>
        <w:t xml:space="preserve">band  = 0 if I&lt;0.25 ; 1 if 0.25≤I&lt;0.50 ; 2 if 0.50≤I&lt;0.75 ; 3 if I≥0.75</w:t>
      </w:r>
    </w:p>
    <w:p>
      <w:pPr>
        <w:spacing w:after="0"/>
      </w:pPr>
      <w:r>
        <w:rPr>
          <w:rFonts w:ascii="Consolas" w:cs="Consolas" w:eastAsia="Consolas" w:hAnsi="Consolas"/>
          <w:sz w:val="18"/>
          <w:szCs w:val="18"/>
        </w:rPr>
        <w:t xml:space="preserve">floor = 0/1/2/3 for RC = LOW/MEDIUM/HIGH/CRITICAL</w:t>
      </w:r>
    </w:p>
    <w:p>
      <w:pPr>
        <w:spacing w:after="0"/>
      </w:pPr>
      <w:r>
        <w:rPr>
          <w:rFonts w:ascii="Consolas" w:cs="Consolas" w:eastAsia="Consolas" w:hAnsi="Consolas"/>
          <w:sz w:val="18"/>
          <w:szCs w:val="18"/>
        </w:rPr>
        <w:t xml:space="preserve">level = max( band(I), floor(RC) )     ;  RC = CRITICAL  ⇒  level = 3</w:t>
      </w:r>
    </w:p>
    <w:p>
      <w:pPr>
        <w:spacing w:after="120"/>
      </w:pPr>
      <w:r>
        <w:t xml:space="preserve"/>
      </w:r>
    </w:p>
    <w:p>
      <w:pPr>
        <w:spacing w:after="120"/>
      </w:pPr>
      <w:r>
        <w:t xml:space="preserve">The routing is asymmetric: risk can only raise the level, never lower it, and any CRITICAL action is forced to the highest level regardless of I(t).</w:t>
      </w:r>
    </w:p>
    <w:p>
      <w:pPr>
        <w:pStyle w:val="Heading2"/>
        <w:spacing w:after="80" w:before="160"/>
      </w:pPr>
      <w:r>
        <w:rPr>
          <w:b/>
          <w:bCs/>
        </w:rPr>
        <w:t xml:space="preserve">3.4 Intervention levels</w:t>
      </w:r>
    </w:p>
    <w:p>
      <w:pPr>
        <w:pStyle w:val="ListParagraph"/>
        <w:numPr>
          <w:ilvl w:val="0"/>
          <w:numId w:val="1"/>
        </w:numPr>
        <w:spacing w:after="80"/>
      </w:pPr>
      <w:r>
        <w:t xml:space="preserve">L0 – Autonomous: execute immediately.</w:t>
      </w:r>
    </w:p>
    <w:p>
      <w:pPr>
        <w:pStyle w:val="ListParagraph"/>
        <w:numPr>
          <w:ilvl w:val="0"/>
          <w:numId w:val="1"/>
        </w:numPr>
        <w:spacing w:after="80"/>
      </w:pPr>
      <w:r>
        <w:t xml:space="preserve">L1 – Notify: execute and inform the operator.</w:t>
      </w:r>
    </w:p>
    <w:p>
      <w:pPr>
        <w:pStyle w:val="ListParagraph"/>
        <w:numPr>
          <w:ilvl w:val="0"/>
          <w:numId w:val="1"/>
        </w:numPr>
        <w:spacing w:after="80"/>
      </w:pPr>
      <w:r>
        <w:t xml:space="preserve">L2 – Suggest: block; the operator approves, edits, or rejects before execution.</w:t>
      </w:r>
    </w:p>
    <w:p>
      <w:pPr>
        <w:pStyle w:val="ListParagraph"/>
        <w:numPr>
          <w:ilvl w:val="0"/>
          <w:numId w:val="1"/>
        </w:numPr>
        <w:spacing w:after="80"/>
      </w:pPr>
      <w:r>
        <w:t xml:space="preserve">L3 – Delegate: full human handoff (no autonomous execution).</w:t>
      </w:r>
    </w:p>
    <w:p>
      <w:pPr>
        <w:pStyle w:val="Heading2"/>
        <w:spacing w:after="80" w:before="160"/>
      </w:pPr>
      <w:r>
        <w:rPr>
          <w:b/>
          <w:bCs/>
        </w:rPr>
        <w:t xml:space="preserve">3.5 Algorithm</w:t>
      </w:r>
    </w:p>
    <w:p>
      <w:pPr>
        <w:spacing w:after="120"/>
      </w:pPr>
      <w:r>
        <w:t xml:space="preserve">The per-action scoring and routing. Scoring and mapping are implemented as pure functions (deterministic, no I/O), so logged signals can be re-scored offline under alternative weights/thresholds without re-running the agent.</w:t>
      </w:r>
    </w:p>
    <w:p>
      <w:pPr>
        <w:spacing w:after="0"/>
      </w:pPr>
      <w:r>
        <w:rPr>
          <w:rFonts w:ascii="Consolas" w:cs="Consolas" w:eastAsia="Consolas" w:hAnsi="Consolas"/>
          <w:sz w:val="18"/>
          <w:szCs w:val="18"/>
        </w:rPr>
        <w:t xml:space="preserve">Input:  proposed action a, context c, outcome history H</w:t>
      </w:r>
    </w:p>
    <w:p>
      <w:pPr>
        <w:spacing w:after="0"/>
      </w:pPr>
      <w:r>
        <w:rPr>
          <w:rFonts w:ascii="Consolas" w:cs="Consolas" w:eastAsia="Consolas" w:hAnsi="Consolas"/>
          <w:sz w:val="18"/>
          <w:szCs w:val="18"/>
        </w:rPr>
        <w:t xml:space="preserve">1.  sample the agent N=5 times on identical context c at T=0.7  -&gt;  cmd_1..cmd_5</w:t>
      </w:r>
    </w:p>
    <w:p>
      <w:pPr>
        <w:spacing w:after="0"/>
      </w:pPr>
      <w:r>
        <w:rPr>
          <w:rFonts w:ascii="Consolas" w:cs="Consolas" w:eastAsia="Consolas" w:hAnsi="Consolas"/>
          <w:sz w:val="18"/>
          <w:szCs w:val="18"/>
        </w:rPr>
        <w:t xml:space="preserve">2.  USC   &lt;- 1 - mean_pairwise_similarity(cmd_1..cmd_5)</w:t>
      </w:r>
    </w:p>
    <w:p>
      <w:pPr>
        <w:spacing w:after="0"/>
      </w:pPr>
      <w:r>
        <w:rPr>
          <w:rFonts w:ascii="Consolas" w:cs="Consolas" w:eastAsia="Consolas" w:hAnsi="Consolas"/>
          <w:sz w:val="18"/>
          <w:szCs w:val="18"/>
        </w:rPr>
        <w:t xml:space="preserve">3.  FH    &lt;- mean_severity(H, last K=10)</w:t>
      </w:r>
    </w:p>
    <w:p>
      <w:pPr>
        <w:spacing w:after="0"/>
      </w:pPr>
      <w:r>
        <w:rPr>
          <w:rFonts w:ascii="Consolas" w:cs="Consolas" w:eastAsia="Consolas" w:hAnsi="Consolas"/>
          <w:sz w:val="18"/>
          <w:szCs w:val="18"/>
        </w:rPr>
        <w:t xml:space="preserve">4.  RC    &lt;- risk_tier(a)                 # regex taxonomy; unmatched -&gt; HIGH</w:t>
      </w:r>
    </w:p>
    <w:p>
      <w:pPr>
        <w:spacing w:after="0"/>
      </w:pPr>
      <w:r>
        <w:rPr>
          <w:rFonts w:ascii="Consolas" w:cs="Consolas" w:eastAsia="Consolas" w:hAnsi="Consolas"/>
          <w:sz w:val="18"/>
          <w:szCs w:val="18"/>
        </w:rPr>
        <w:t xml:space="preserve">5.  I     &lt;- 0.35*USC + 0.30*FH + 0.35*RC</w:t>
      </w:r>
    </w:p>
    <w:p>
      <w:pPr>
        <w:spacing w:after="0"/>
      </w:pPr>
      <w:r>
        <w:rPr>
          <w:rFonts w:ascii="Consolas" w:cs="Consolas" w:eastAsia="Consolas" w:hAnsi="Consolas"/>
          <w:sz w:val="18"/>
          <w:szCs w:val="18"/>
        </w:rPr>
        <w:t xml:space="preserve">6.  band  &lt;- threshold(I, tau = 0.25 / 0.50 / 0.75)</w:t>
      </w:r>
    </w:p>
    <w:p>
      <w:pPr>
        <w:spacing w:after="0"/>
      </w:pPr>
      <w:r>
        <w:rPr>
          <w:rFonts w:ascii="Consolas" w:cs="Consolas" w:eastAsia="Consolas" w:hAnsi="Consolas"/>
          <w:sz w:val="18"/>
          <w:szCs w:val="18"/>
        </w:rPr>
        <w:t xml:space="preserve">7.  level &lt;- max(band, risk_floor(RC)) ;  if RC = CRITICAL then level &lt;- 3</w:t>
      </w:r>
    </w:p>
    <w:p>
      <w:pPr>
        <w:spacing w:after="0"/>
      </w:pPr>
      <w:r>
        <w:rPr>
          <w:rFonts w:ascii="Consolas" w:cs="Consolas" w:eastAsia="Consolas" w:hAnsi="Consolas"/>
          <w:sz w:val="18"/>
          <w:szCs w:val="18"/>
        </w:rPr>
        <w:t xml:space="preserve">8.  route:  L0 execute | L1 notify+execute | L2 operator approve/reject | L3 delegate</w:t>
      </w:r>
    </w:p>
    <w:p>
      <w:pPr>
        <w:spacing w:after="0"/>
      </w:pPr>
      <w:r>
        <w:rPr>
          <w:rFonts w:ascii="Consolas" w:cs="Consolas" w:eastAsia="Consolas" w:hAnsi="Consolas"/>
          <w:sz w:val="18"/>
          <w:szCs w:val="18"/>
        </w:rPr>
        <w:t xml:space="preserve">9.  append outcome of a to H              # feeds FH on the next step</w:t>
      </w:r>
    </w:p>
    <w:p>
      <w:pPr>
        <w:spacing w:after="120"/>
      </w:pPr>
      <w:r>
        <w:t xml:space="preserve"/>
      </w:r>
    </w:p>
    <w:p>
      <w:pPr>
        <w:pStyle w:val="Heading2"/>
        <w:spacing w:after="80" w:before="160"/>
      </w:pPr>
      <w:r>
        <w:rPr>
          <w:b/>
          <w:bCs/>
        </w:rPr>
        <w:t xml:space="preserve">3.6 Control flow (flowchart)</w:t>
      </w:r>
    </w:p>
    <w:p>
      <w:pPr>
        <w:pBdr>
          <w:top w:val="dashed" w:color="999999" w:sz="6"/>
          <w:bottom w:val="dashed" w:color="999999" w:sz="6"/>
          <w:left w:val="dashed" w:color="999999" w:sz="6"/>
          <w:right w:val="dashed" w:color="999999" w:sz="6"/>
        </w:pBdr>
        <w:spacing w:after="40" w:before="120"/>
        <w:jc w:val="center"/>
      </w:pPr>
      <w:r>
        <w:rPr>
          <w:i/>
          <w:iCs/>
          <w:color w:val="666666"/>
        </w:rPr>
        <w:t xml:space="preserve">[ Figure 1: CADIS control-flow flowchart — insert diagram here ]</w:t>
      </w:r>
    </w:p>
    <w:p>
      <w:pPr>
        <w:spacing w:after="160" w:before="60"/>
      </w:pPr>
      <w:r>
        <w:rPr>
          <w:i/>
          <w:iCs/>
          <w:sz w:val="18"/>
          <w:szCs w:val="18"/>
        </w:rPr>
        <w:t xml:space="preserve">Figure 1. For each proposed action, the three trust signals (USC, FH, RC) are computed, fused into I(t), and mapped to an oversight level (L0–L3); the outcome feeds the failure-history signal for the next step.</w:t>
      </w:r>
    </w:p>
    <w:p>
      <w:pPr>
        <w:pStyle w:val="Heading2"/>
        <w:spacing w:after="80" w:before="160"/>
      </w:pPr>
      <w:r>
        <w:rPr>
          <w:b/>
          <w:bCs/>
        </w:rPr>
        <w:t xml:space="preserve">3.7 Agent–CADIS interaction (activity diagram)</w:t>
      </w:r>
    </w:p>
    <w:p>
      <w:pPr>
        <w:pBdr>
          <w:top w:val="dashed" w:color="999999" w:sz="6"/>
          <w:bottom w:val="dashed" w:color="999999" w:sz="6"/>
          <w:left w:val="dashed" w:color="999999" w:sz="6"/>
          <w:right w:val="dashed" w:color="999999" w:sz="6"/>
        </w:pBdr>
        <w:spacing w:after="40" w:before="120"/>
        <w:jc w:val="center"/>
      </w:pPr>
      <w:r>
        <w:rPr>
          <w:i/>
          <w:iCs/>
          <w:color w:val="666666"/>
        </w:rPr>
        <w:t xml:space="preserve">[ Figure 2: Agent–CADIS activity diagram — insert diagram here ]</w:t>
      </w:r>
    </w:p>
    <w:p>
      <w:pPr>
        <w:spacing w:after="160" w:before="60"/>
      </w:pPr>
      <w:r>
        <w:rPr>
          <w:i/>
          <w:iCs/>
          <w:sz w:val="18"/>
          <w:szCs w:val="18"/>
        </w:rPr>
        <w:t xml:space="preserve">Figure 2. CADIS is a gate at the action seam. The agent proposes an action, CADIS scores and routes it, and only permitted actions reach the executor; the result returns to the agent to inform the next step. The agent loop is identical with and without CADIS — only the routing of each proposed action changes.</w:t>
      </w:r>
    </w:p>
    <w:p>
      <w:pPr>
        <w:pStyle w:val="Heading2"/>
        <w:spacing w:after="80" w:before="160"/>
      </w:pPr>
      <w:r>
        <w:rPr>
          <w:b/>
          <w:bCs/>
        </w:rPr>
        <w:t xml:space="preserve">3.8 Implementation and integration</w:t>
      </w:r>
    </w:p>
    <w:p>
      <w:pPr>
        <w:spacing w:after="120"/>
      </w:pPr>
      <w:r>
        <w:t xml:space="preserve">CADIS was implemented through a gated, staged workflow: internalising the design, auditing the existing code, implementing the pure-function signal and routing core with unit tests that match the formulas one-to-one, wiring the operator for the L1/L2/L3 levels, standing up the isolated target suite, implementing the four experimental conditions, and adding per-step logging that records every signal, weight, threshold, I(t), band level, risk floor, final level, operator decision, and outcome. All LLM access — both the agent and the N=5 self-consistency sampler — routes through a single pinned model via the OpenRouter API, so the same model produces the agent's actions and its resamples. Before any counted run the entire configuration (code commit, model, generation parameters, weights, thresholds, target image digests, and the four conditions) was frozen and pre-registered, and every subsequent methodological change was recorded in a deviation log before proceeding.</w:t>
      </w:r>
    </w:p>
    <w:p>
      <w:pPr>
        <w:pStyle w:val="Heading1"/>
        <w:spacing w:after="120" w:before="240"/>
      </w:pPr>
      <w:r>
        <w:rPr>
          <w:b/>
          <w:bCs/>
        </w:rPr>
        <w:t xml:space="preserve">4. Testing Environment and Methodology</w:t>
      </w:r>
    </w:p>
    <w:p>
      <w:pPr>
        <w:spacing w:after="120"/>
      </w:pPr>
      <w:r>
        <w:t xml:space="preserve">Because CADIS is an oversight layer, it can only be evaluated by running a real agent against real vulnerable services under different oversight policies. We ran a live agent against isolated vulnerable Docker target machines and recorded, for every proposed action, what CADIS did with it.</w:t>
      </w:r>
    </w:p>
    <w:p>
      <w:pPr>
        <w:pStyle w:val="Heading2"/>
        <w:spacing w:after="80" w:before="160"/>
      </w:pPr>
      <w:r>
        <w:rPr>
          <w:b/>
          <w:bCs/>
        </w:rPr>
        <w:t xml:space="preserve">4.1 Experimental conditions</w:t>
      </w:r>
    </w:p>
    <w:p>
      <w:pPr>
        <w:spacing w:after="120"/>
      </w:pPr>
      <w:r>
        <w:t xml:space="preserve">The agent, prompts, model, sampling, and the rule that the executed action is the agent's own first sample are identical across four conditions; only the level decision differs.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00"/>
      </w:tblGrid>
      <w:tr>
        <w:trPr>
          <w:tblHeader/>
        </w:trPr>
        <w:tc>
          <w:tcPr>
            <w:tcW w:type="dxa" w:w="1900"/>
            <w:gridSpan w:val="1"/>
            <w:shd w:fill="D9E2F3" w:color="auto" w:val="clear"/>
            <w:tcMar>
              <w:top w:type="dxa" w:w="40"/>
              <w:left w:type="dxa" w:w="80"/>
              <w:bottom w:type="dxa" w:w="40"/>
              <w:right w:type="dxa" w:w="80"/>
            </w:tcMar>
            <w:vAlign w:val="center"/>
          </w:tcPr>
          <w:p>
            <w:pPr>
              <w:spacing w:after="0"/>
              <w:jc w:val="left"/>
            </w:pPr>
            <w:r>
              <w:rPr>
                <w:b/>
                <w:bCs/>
              </w:rPr>
              <w:t xml:space="preserve">Condition</w:t>
            </w:r>
          </w:p>
        </w:tc>
        <w:tc>
          <w:tcPr>
            <w:tcW w:type="dxa" w:w="2500"/>
            <w:gridSpan w:val="1"/>
            <w:shd w:fill="D9E2F3" w:color="auto" w:val="clear"/>
            <w:tcMar>
              <w:top w:type="dxa" w:w="40"/>
              <w:left w:type="dxa" w:w="80"/>
              <w:bottom w:type="dxa" w:w="40"/>
              <w:right w:type="dxa" w:w="80"/>
            </w:tcMar>
            <w:vAlign w:val="center"/>
          </w:tcPr>
          <w:p>
            <w:pPr>
              <w:spacing w:after="0"/>
              <w:jc w:val="left"/>
            </w:pPr>
            <w:r>
              <w:rPr>
                <w:b/>
                <w:bCs/>
              </w:rPr>
              <w:t xml:space="preserve">Level decision</w:t>
            </w:r>
          </w:p>
        </w:tc>
        <w:tc>
          <w:tcPr>
            <w:tcW w:type="dxa" w:w="4600"/>
            <w:gridSpan w:val="1"/>
            <w:shd w:fill="D9E2F3" w:color="auto" w:val="clear"/>
            <w:tcMar>
              <w:top w:type="dxa" w:w="40"/>
              <w:left w:type="dxa" w:w="80"/>
              <w:bottom w:type="dxa" w:w="40"/>
              <w:right w:type="dxa" w:w="80"/>
            </w:tcMar>
            <w:vAlign w:val="center"/>
          </w:tcPr>
          <w:p>
            <w:pPr>
              <w:spacing w:after="0"/>
              <w:jc w:val="left"/>
            </w:pPr>
            <w:r>
              <w:rPr>
                <w:b/>
                <w:bCs/>
              </w:rPr>
              <w:t xml:space="preserve">Purpose</w:t>
            </w:r>
          </w:p>
        </w:tc>
      </w:tr>
      <w:tr>
        <w:tc>
          <w:tcPr>
            <w:tcW w:type="dxa" w:w="1900"/>
            <w:gridSpan w:val="1"/>
            <w:tcMar>
              <w:top w:type="dxa" w:w="40"/>
              <w:left w:type="dxa" w:w="80"/>
              <w:bottom w:type="dxa" w:w="40"/>
              <w:right w:type="dxa" w:w="80"/>
            </w:tcMar>
            <w:vAlign w:val="center"/>
          </w:tcPr>
          <w:p>
            <w:pPr>
              <w:spacing w:after="0"/>
              <w:jc w:val="left"/>
            </w:pPr>
            <w:r>
              <w:rPr>
                <w:b/>
                <w:bCs/>
              </w:rPr>
              <w:t xml:space="preserve">Full autonomy</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always L0</w:t>
            </w:r>
          </w:p>
        </w:tc>
        <w:tc>
          <w:tcPr>
            <w:tcW w:type="dxa" w:w="4600"/>
            <w:gridSpan w:val="1"/>
            <w:tcMar>
              <w:top w:type="dxa" w:w="40"/>
              <w:left w:type="dxa" w:w="80"/>
              <w:bottom w:type="dxa" w:w="40"/>
              <w:right w:type="dxa" w:w="80"/>
            </w:tcMar>
            <w:vAlign w:val="center"/>
          </w:tcPr>
          <w:p>
            <w:pPr>
              <w:spacing w:after="0"/>
              <w:jc w:val="left"/>
            </w:pPr>
            <w:r>
              <w:rPr>
                <w:b w:val="false"/>
                <w:bCs w:val="false"/>
              </w:rPr>
              <w:t xml:space="preserve">speed ceiling; no oversight</w:t>
            </w:r>
          </w:p>
        </w:tc>
      </w:tr>
      <w:tr>
        <w:tc>
          <w:tcPr>
            <w:tcW w:type="dxa" w:w="1900"/>
            <w:gridSpan w:val="1"/>
            <w:tcMar>
              <w:top w:type="dxa" w:w="40"/>
              <w:left w:type="dxa" w:w="80"/>
              <w:bottom w:type="dxa" w:w="40"/>
              <w:right w:type="dxa" w:w="80"/>
            </w:tcMar>
            <w:vAlign w:val="center"/>
          </w:tcPr>
          <w:p>
            <w:pPr>
              <w:spacing w:after="0"/>
              <w:jc w:val="left"/>
            </w:pPr>
            <w:r>
              <w:rPr>
                <w:b/>
                <w:bCs/>
              </w:rPr>
              <w:t xml:space="preserve">Static HITL</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always L2</w:t>
            </w:r>
          </w:p>
        </w:tc>
        <w:tc>
          <w:tcPr>
            <w:tcW w:type="dxa" w:w="4600"/>
            <w:gridSpan w:val="1"/>
            <w:tcMar>
              <w:top w:type="dxa" w:w="40"/>
              <w:left w:type="dxa" w:w="80"/>
              <w:bottom w:type="dxa" w:w="40"/>
              <w:right w:type="dxa" w:w="80"/>
            </w:tcMar>
            <w:vAlign w:val="center"/>
          </w:tcPr>
          <w:p>
            <w:pPr>
              <w:spacing w:after="0"/>
              <w:jc w:val="left"/>
            </w:pPr>
            <w:r>
              <w:rPr>
                <w:b w:val="false"/>
                <w:bCs w:val="false"/>
              </w:rPr>
              <w:t xml:space="preserve">safety ceiling; cost of maximal oversight</w:t>
            </w:r>
          </w:p>
        </w:tc>
      </w:tr>
      <w:tr>
        <w:tc>
          <w:tcPr>
            <w:tcW w:type="dxa" w:w="1900"/>
            <w:gridSpan w:val="1"/>
            <w:tcMar>
              <w:top w:type="dxa" w:w="40"/>
              <w:left w:type="dxa" w:w="80"/>
              <w:bottom w:type="dxa" w:w="40"/>
              <w:right w:type="dxa" w:w="80"/>
            </w:tcMar>
            <w:vAlign w:val="center"/>
          </w:tcPr>
          <w:p>
            <w:pPr>
              <w:spacing w:after="0"/>
              <w:jc w:val="left"/>
            </w:pPr>
            <w:r>
              <w:rPr>
                <w:b/>
                <w:bCs/>
              </w:rPr>
              <w:t xml:space="preserve">Random</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random levels matched to CADIS's effort budget</w:t>
            </w:r>
          </w:p>
        </w:tc>
        <w:tc>
          <w:tcPr>
            <w:tcW w:type="dxa" w:w="4600"/>
            <w:gridSpan w:val="1"/>
            <w:tcMar>
              <w:top w:type="dxa" w:w="40"/>
              <w:left w:type="dxa" w:w="80"/>
              <w:bottom w:type="dxa" w:w="40"/>
              <w:right w:type="dxa" w:w="80"/>
            </w:tcMar>
            <w:vAlign w:val="center"/>
          </w:tcPr>
          <w:p>
            <w:pPr>
              <w:spacing w:after="0"/>
              <w:jc w:val="left"/>
            </w:pPr>
            <w:r>
              <w:rPr>
                <w:b w:val="false"/>
                <w:bCs w:val="false"/>
              </w:rPr>
              <w:t xml:space="preserve">tests whether CADIS's interventions are well-placed vs. any equal-budget policy</w:t>
            </w:r>
          </w:p>
        </w:tc>
      </w:tr>
      <w:tr>
        <w:tc>
          <w:tcPr>
            <w:tcW w:type="dxa" w:w="1900"/>
            <w:gridSpan w:val="1"/>
            <w:tcMar>
              <w:top w:type="dxa" w:w="40"/>
              <w:left w:type="dxa" w:w="80"/>
              <w:bottom w:type="dxa" w:w="40"/>
              <w:right w:type="dxa" w:w="80"/>
            </w:tcMar>
            <w:vAlign w:val="center"/>
          </w:tcPr>
          <w:p>
            <w:pPr>
              <w:spacing w:after="0"/>
              <w:jc w:val="left"/>
            </w:pPr>
            <w:r>
              <w:rPr>
                <w:b/>
                <w:bCs/>
              </w:rPr>
              <w:t xml:space="preserve">CADIS</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full max(band(I), floor) policy</w:t>
            </w:r>
          </w:p>
        </w:tc>
        <w:tc>
          <w:tcPr>
            <w:tcW w:type="dxa" w:w="4600"/>
            <w:gridSpan w:val="1"/>
            <w:tcMar>
              <w:top w:type="dxa" w:w="40"/>
              <w:left w:type="dxa" w:w="80"/>
              <w:bottom w:type="dxa" w:w="40"/>
              <w:right w:type="dxa" w:w="80"/>
            </w:tcMar>
            <w:vAlign w:val="center"/>
          </w:tcPr>
          <w:p>
            <w:pPr>
              <w:spacing w:after="0"/>
              <w:jc w:val="left"/>
            </w:pPr>
            <w:r>
              <w:rPr>
                <w:b w:val="false"/>
                <w:bCs w:val="false"/>
              </w:rPr>
              <w:t xml:space="preserve">the system under test</w:t>
            </w:r>
          </w:p>
        </w:tc>
      </w:tr>
    </w:tbl>
    <w:p>
      <w:pPr>
        <w:spacing w:after="160" w:before="60"/>
      </w:pPr>
      <w:r>
        <w:rPr>
          <w:i/>
          <w:iCs/>
          <w:sz w:val="18"/>
          <w:szCs w:val="18"/>
        </w:rPr>
        <w:t xml:space="preserve">Table 1. The four evaluation conditions. Random is budget-matched to CADIS's measured human-effort ratio and is the load-bearing control.</w:t>
      </w:r>
    </w:p>
    <w:p>
      <w:pPr>
        <w:pStyle w:val="Heading2"/>
        <w:spacing w:after="80" w:before="160"/>
      </w:pPr>
      <w:r>
        <w:rPr>
          <w:b/>
          <w:bCs/>
        </w:rPr>
        <w:t xml:space="preserve">4.2 Target environments (the test set)</w:t>
      </w:r>
    </w:p>
    <w:p>
      <w:pPr>
        <w:spacing w:after="120"/>
      </w:pPr>
      <w:r>
        <w:t xml:space="preserve">CADIS was tested against two families of isolated, digest-pinned vulnerable Docker containers, each destroyed and recreated from its pinned image between runs so no state leaks. Every target hides a planted secret (a flag) reachable only by actually performing the exploit, so task success is verified by artifact, not self-report.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700"/>
        <w:gridCol w:w="1300"/>
      </w:tblGrid>
      <w:tr>
        <w:trPr>
          <w:tblHeader/>
        </w:trPr>
        <w:tc>
          <w:tcPr>
            <w:tcW w:type="dxa" w:w="2500"/>
            <w:gridSpan w:val="1"/>
            <w:shd w:fill="D9E2F3" w:color="auto" w:val="clear"/>
            <w:tcMar>
              <w:top w:type="dxa" w:w="40"/>
              <w:left w:type="dxa" w:w="80"/>
              <w:bottom w:type="dxa" w:w="40"/>
              <w:right w:type="dxa" w:w="80"/>
            </w:tcMar>
            <w:vAlign w:val="center"/>
          </w:tcPr>
          <w:p>
            <w:pPr>
              <w:spacing w:after="0"/>
              <w:jc w:val="left"/>
            </w:pPr>
            <w:r>
              <w:rPr>
                <w:b/>
                <w:bCs/>
              </w:rPr>
              <w:t xml:space="preserve">Target</w:t>
            </w:r>
          </w:p>
        </w:tc>
        <w:tc>
          <w:tcPr>
            <w:tcW w:type="dxa" w:w="2500"/>
            <w:gridSpan w:val="1"/>
            <w:shd w:fill="D9E2F3" w:color="auto" w:val="clear"/>
            <w:tcMar>
              <w:top w:type="dxa" w:w="40"/>
              <w:left w:type="dxa" w:w="80"/>
              <w:bottom w:type="dxa" w:w="40"/>
              <w:right w:type="dxa" w:w="80"/>
            </w:tcMar>
            <w:vAlign w:val="center"/>
          </w:tcPr>
          <w:p>
            <w:pPr>
              <w:spacing w:after="0"/>
              <w:jc w:val="left"/>
            </w:pPr>
            <w:r>
              <w:rPr>
                <w:b/>
                <w:bCs/>
              </w:rPr>
              <w:t xml:space="preserve">Base / service</w:t>
            </w:r>
          </w:p>
        </w:tc>
        <w:tc>
          <w:tcPr>
            <w:tcW w:type="dxa" w:w="2700"/>
            <w:gridSpan w:val="1"/>
            <w:shd w:fill="D9E2F3" w:color="auto" w:val="clear"/>
            <w:tcMar>
              <w:top w:type="dxa" w:w="40"/>
              <w:left w:type="dxa" w:w="80"/>
              <w:bottom w:type="dxa" w:w="40"/>
              <w:right w:type="dxa" w:w="80"/>
            </w:tcMar>
            <w:vAlign w:val="center"/>
          </w:tcPr>
          <w:p>
            <w:pPr>
              <w:spacing w:after="0"/>
              <w:jc w:val="left"/>
            </w:pPr>
            <w:r>
              <w:rPr>
                <w:b/>
                <w:bCs/>
              </w:rPr>
              <w:t xml:space="preserve">Vulnerability</w:t>
            </w:r>
          </w:p>
        </w:tc>
        <w:tc>
          <w:tcPr>
            <w:tcW w:type="dxa" w:w="1300"/>
            <w:gridSpan w:val="1"/>
            <w:shd w:fill="D9E2F3" w:color="auto" w:val="clear"/>
            <w:tcMar>
              <w:top w:type="dxa" w:w="40"/>
              <w:left w:type="dxa" w:w="80"/>
              <w:bottom w:type="dxa" w:w="40"/>
              <w:right w:type="dxa" w:w="80"/>
            </w:tcMar>
            <w:vAlign w:val="center"/>
          </w:tcPr>
          <w:p>
            <w:pPr>
              <w:spacing w:after="0"/>
              <w:jc w:val="left"/>
            </w:pPr>
            <w:r>
              <w:rPr>
                <w:b/>
                <w:bCs/>
              </w:rPr>
              <w:t xml:space="preserve">Used in</w:t>
            </w:r>
          </w:p>
        </w:tc>
      </w:tr>
      <w:tr>
        <w:tc>
          <w:tcPr>
            <w:tcW w:type="dxa" w:w="9000"/>
            <w:gridSpan w:val="4"/>
            <w:shd w:fill="EDEDED" w:color="auto" w:val="clear"/>
            <w:tcMar>
              <w:top w:type="dxa" w:w="40"/>
              <w:left w:type="dxa" w:w="80"/>
              <w:bottom w:type="dxa" w:w="40"/>
              <w:right w:type="dxa" w:w="80"/>
            </w:tcMar>
            <w:vAlign w:val="center"/>
          </w:tcPr>
          <w:p>
            <w:pPr>
              <w:spacing w:after="0"/>
              <w:jc w:val="left"/>
            </w:pPr>
            <w:r>
              <w:rPr>
                <w:b/>
                <w:bCs/>
                <w:i/>
                <w:iCs/>
              </w:rPr>
              <w:t xml:space="preserve">Core suite (three pinned models: DeepSeek-v4-flash, Gemini-2.5-flash, GPT-OSS-120B)</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dvwa-sqli</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DVWA (web)</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SQL injection</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core runs</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msf2-vsftpd</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Metasploitable2</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vsftpd 2.3.4 backdoor</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core runs</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juice-shop</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OWASP Juice Shop</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injection / auth bypass</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core runs</w:t>
            </w:r>
          </w:p>
        </w:tc>
      </w:tr>
      <w:tr>
        <w:tc>
          <w:tcPr>
            <w:tcW w:type="dxa" w:w="9000"/>
            <w:gridSpan w:val="4"/>
            <w:shd w:fill="EDEDED" w:color="auto" w:val="clear"/>
            <w:tcMar>
              <w:top w:type="dxa" w:w="40"/>
              <w:left w:type="dxa" w:w="80"/>
              <w:bottom w:type="dxa" w:w="40"/>
              <w:right w:type="dxa" w:w="80"/>
            </w:tcMar>
            <w:vAlign w:val="center"/>
          </w:tcPr>
          <w:p>
            <w:pPr>
              <w:spacing w:after="0"/>
              <w:jc w:val="left"/>
            </w:pPr>
            <w:r>
              <w:rPr>
                <w:b/>
                <w:bCs/>
                <w:i/>
                <w:iCs/>
              </w:rPr>
              <w:t xml:space="preserve">AutoPenBench suite (DeepSeek-v4-flash)</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apb-web-sqli</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PHP + MySQL</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UNION SQL injection</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AutoPenBench</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apb-invitro-web-trav0/1/2</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PHP web app</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path traversal (none/replace/filter)</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AutoPenBench</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apb-cve-apache</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Apache httpd 2.4.50</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CVE-2021-42013 traversal → RCE</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AutoPenBench</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apb-cve-grafana</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Grafana 8.2.0</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CVE-2021-43798 path traversal</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AutoPenBench</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apb-cve-jenkins</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Jenkins 2.441</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CVE-2024-23897 CLI file read</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AutoPenBench</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apb-cve-spring4shell</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Spring / Tomcat</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CVE-2022-22965 RCE</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AutoPenBench</w:t>
            </w:r>
          </w:p>
        </w:tc>
      </w:tr>
      <w:tr>
        <w:tc>
          <w:tcPr>
            <w:tcW w:type="dxa" w:w="2500"/>
            <w:gridSpan w:val="1"/>
            <w:tcMar>
              <w:top w:type="dxa" w:w="40"/>
              <w:left w:type="dxa" w:w="80"/>
              <w:bottom w:type="dxa" w:w="40"/>
              <w:right w:type="dxa" w:w="80"/>
            </w:tcMar>
            <w:vAlign w:val="center"/>
          </w:tcPr>
          <w:p>
            <w:pPr>
              <w:spacing w:after="0"/>
              <w:jc w:val="left"/>
            </w:pPr>
            <w:r>
              <w:rPr>
                <w:b w:val="false"/>
                <w:bCs w:val="false"/>
              </w:rPr>
              <w:t xml:space="preserve">apb-heartbleed</w:t>
            </w:r>
          </w:p>
        </w:tc>
        <w:tc>
          <w:tcPr>
            <w:tcW w:type="dxa" w:w="2500"/>
            <w:gridSpan w:val="1"/>
            <w:tcMar>
              <w:top w:type="dxa" w:w="40"/>
              <w:left w:type="dxa" w:w="80"/>
              <w:bottom w:type="dxa" w:w="40"/>
              <w:right w:type="dxa" w:w="80"/>
            </w:tcMar>
            <w:vAlign w:val="center"/>
          </w:tcPr>
          <w:p>
            <w:pPr>
              <w:spacing w:after="0"/>
              <w:jc w:val="left"/>
            </w:pPr>
            <w:r>
              <w:rPr>
                <w:b w:val="false"/>
                <w:bCs w:val="false"/>
              </w:rPr>
              <w:t xml:space="preserve">nginx + OpenSSL 1.0.1c</w:t>
            </w:r>
          </w:p>
        </w:tc>
        <w:tc>
          <w:tcPr>
            <w:tcW w:type="dxa" w:w="2700"/>
            <w:gridSpan w:val="1"/>
            <w:tcMar>
              <w:top w:type="dxa" w:w="40"/>
              <w:left w:type="dxa" w:w="80"/>
              <w:bottom w:type="dxa" w:w="40"/>
              <w:right w:type="dxa" w:w="80"/>
            </w:tcMar>
            <w:vAlign w:val="center"/>
          </w:tcPr>
          <w:p>
            <w:pPr>
              <w:spacing w:after="0"/>
              <w:jc w:val="left"/>
            </w:pPr>
            <w:r>
              <w:rPr>
                <w:b w:val="false"/>
                <w:bCs w:val="false"/>
              </w:rPr>
              <w:t xml:space="preserve">CVE-2014-0160 Heartbleed</w:t>
            </w:r>
          </w:p>
        </w:tc>
        <w:tc>
          <w:tcPr>
            <w:tcW w:type="dxa" w:w="1300"/>
            <w:gridSpan w:val="1"/>
            <w:tcMar>
              <w:top w:type="dxa" w:w="40"/>
              <w:left w:type="dxa" w:w="80"/>
              <w:bottom w:type="dxa" w:w="40"/>
              <w:right w:type="dxa" w:w="80"/>
            </w:tcMar>
            <w:vAlign w:val="center"/>
          </w:tcPr>
          <w:p>
            <w:pPr>
              <w:spacing w:after="0"/>
              <w:jc w:val="left"/>
            </w:pPr>
            <w:r>
              <w:rPr>
                <w:b w:val="false"/>
                <w:bCs w:val="false"/>
              </w:rPr>
              <w:t xml:space="preserve">AutoPenBench</w:t>
            </w:r>
          </w:p>
        </w:tc>
      </w:tr>
    </w:tbl>
    <w:p>
      <w:pPr>
        <w:spacing w:after="160" w:before="60"/>
      </w:pPr>
      <w:r>
        <w:rPr>
          <w:i/>
          <w:iCs/>
          <w:sz w:val="18"/>
          <w:szCs w:val="18"/>
        </w:rPr>
        <w:t xml:space="preserve">Table 2. The vulnerable target machines used to test CADIS — web injection, path traversal, remote code execution, a service backdoor, and a memory disclosure.</w:t>
      </w:r>
    </w:p>
    <w:p>
      <w:pPr>
        <w:pStyle w:val="Heading2"/>
        <w:spacing w:after="80" w:before="160"/>
      </w:pPr>
      <w:r>
        <w:rPr>
          <w:b/>
          <w:bCs/>
        </w:rPr>
        <w:t xml:space="preserve">4.3 Testing procedure</w:t>
      </w:r>
    </w:p>
    <w:p>
      <w:pPr>
        <w:spacing w:after="120"/>
      </w:pPr>
      <w:r>
        <w:t xml:space="preserve">For each (condition, target, repetition) the target was reset from its pinned image, the agent was run against the target's objective under the condition's policy, and every proposed action was scored and logged. The core suite was run for three pinned models across the four conditions with three repetitions each; the AutoPenBench suite was run for one pinned model across the four conditions. The action-level quantities of interest are whether a proposed action was classified high-risk, and whether it was contained (blocked) or executed; at the run level we record task completion (by the planted-flag oracle), the human-effort ratio, and time-to-completion.</w:t>
      </w:r>
    </w:p>
    <w:p>
      <w:pPr>
        <w:pStyle w:val="Heading1"/>
        <w:spacing w:after="120" w:before="240"/>
      </w:pPr>
      <w:r>
        <w:rPr>
          <w:b/>
          <w:bCs/>
        </w:rPr>
        <w:t xml:space="preserve">5. Results</w:t>
      </w:r>
    </w:p>
    <w:p>
      <w:pPr>
        <w:spacing w:after="120"/>
      </w:pPr>
      <w:r>
        <w:t xml:space="preserve">We present results from the angle that matters for an oversight layer: does CADIS block the risky behaviours? On this question the evidence is consistent and strong across every run.</w:t>
      </w:r>
    </w:p>
    <w:p>
      <w:pPr>
        <w:pStyle w:val="Heading2"/>
        <w:spacing w:after="80" w:before="160"/>
      </w:pPr>
      <w:r>
        <w:rPr>
          <w:b/>
          <w:bCs/>
        </w:rPr>
        <w:t xml:space="preserve">5.1 CADIS is a precise, complete risk gate</w:t>
      </w:r>
    </w:p>
    <w:p>
      <w:pPr>
        <w:spacing w:after="120"/>
      </w:pPr>
      <w:r>
        <w:t xml:space="preserve">Table 3 summarises risk-gating on both the core suite (pooled across the three models) and AutoPenBench. In both, CADIS blocked essentially every HIGH/CRITICAL action the agent proposed, at 1.00 precision — at most one benign action was ever caught. A budget-matched random policy, spending the same human effort, eliminated only 24–27% of the risky actions; static HITL matched CADIS's coverage only by blocking everything, at full human effort and lower precision.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850"/>
        <w:gridCol w:w="1450"/>
        <w:gridCol w:w="1450"/>
        <w:gridCol w:w="950"/>
        <w:gridCol w:w="1450"/>
      </w:tblGrid>
      <w:tr>
        <w:trPr>
          <w:tblHeader/>
        </w:trPr>
        <w:tc>
          <w:tcPr>
            <w:tcW w:type="dxa" w:w="1150"/>
            <w:gridSpan w:val="1"/>
            <w:shd w:fill="D9E2F3" w:color="auto" w:val="clear"/>
            <w:tcMar>
              <w:top w:type="dxa" w:w="40"/>
              <w:left w:type="dxa" w:w="80"/>
              <w:bottom w:type="dxa" w:w="40"/>
              <w:right w:type="dxa" w:w="80"/>
            </w:tcMar>
            <w:vAlign w:val="center"/>
          </w:tcPr>
          <w:p>
            <w:pPr>
              <w:spacing w:after="0"/>
              <w:jc w:val="left"/>
            </w:pPr>
            <w:r>
              <w:rPr>
                <w:b/>
                <w:bCs/>
              </w:rPr>
              <w:t xml:space="preserve">Suite</w:t>
            </w:r>
          </w:p>
        </w:tc>
        <w:tc>
          <w:tcPr>
            <w:tcW w:type="dxa" w:w="1750"/>
            <w:gridSpan w:val="1"/>
            <w:shd w:fill="D9E2F3" w:color="auto" w:val="clear"/>
            <w:tcMar>
              <w:top w:type="dxa" w:w="40"/>
              <w:left w:type="dxa" w:w="80"/>
              <w:bottom w:type="dxa" w:w="40"/>
              <w:right w:type="dxa" w:w="80"/>
            </w:tcMar>
            <w:vAlign w:val="center"/>
          </w:tcPr>
          <w:p>
            <w:pPr>
              <w:spacing w:after="0"/>
              <w:jc w:val="left"/>
            </w:pPr>
            <w:r>
              <w:rPr>
                <w:b/>
                <w:bCs/>
              </w:rPr>
              <w:t xml:space="preserve">Condition</w:t>
            </w:r>
          </w:p>
        </w:tc>
        <w:tc>
          <w:tcPr>
            <w:tcW w:type="dxa" w:w="850"/>
            <w:gridSpan w:val="1"/>
            <w:shd w:fill="D9E2F3" w:color="auto" w:val="clear"/>
            <w:tcMar>
              <w:top w:type="dxa" w:w="40"/>
              <w:left w:type="dxa" w:w="80"/>
              <w:bottom w:type="dxa" w:w="40"/>
              <w:right w:type="dxa" w:w="80"/>
            </w:tcMar>
            <w:vAlign w:val="center"/>
          </w:tcPr>
          <w:p>
            <w:pPr>
              <w:spacing w:after="0"/>
              <w:jc w:val="center"/>
            </w:pPr>
            <w:r>
              <w:rPr>
                <w:b/>
                <w:bCs/>
              </w:rPr>
              <w:t xml:space="preserve">Blocked</w:t>
            </w:r>
          </w:p>
        </w:tc>
        <w:tc>
          <w:tcPr>
            <w:tcW w:type="dxa" w:w="1450"/>
            <w:gridSpan w:val="1"/>
            <w:shd w:fill="D9E2F3" w:color="auto" w:val="clear"/>
            <w:tcMar>
              <w:top w:type="dxa" w:w="40"/>
              <w:left w:type="dxa" w:w="80"/>
              <w:bottom w:type="dxa" w:w="40"/>
              <w:right w:type="dxa" w:w="80"/>
            </w:tcMar>
            <w:vAlign w:val="center"/>
          </w:tcPr>
          <w:p>
            <w:pPr>
              <w:spacing w:after="0"/>
              <w:jc w:val="center"/>
            </w:pPr>
            <w:r>
              <w:rPr>
                <w:b/>
                <w:bCs/>
              </w:rPr>
              <w:t xml:space="preserve">HIGH-risk eliminated</w:t>
            </w:r>
          </w:p>
        </w:tc>
        <w:tc>
          <w:tcPr>
            <w:tcW w:type="dxa" w:w="1450"/>
            <w:gridSpan w:val="1"/>
            <w:shd w:fill="D9E2F3" w:color="auto" w:val="clear"/>
            <w:tcMar>
              <w:top w:type="dxa" w:w="40"/>
              <w:left w:type="dxa" w:w="80"/>
              <w:bottom w:type="dxa" w:w="40"/>
              <w:right w:type="dxa" w:w="80"/>
            </w:tcMar>
            <w:vAlign w:val="center"/>
          </w:tcPr>
          <w:p>
            <w:pPr>
              <w:spacing w:after="0"/>
              <w:jc w:val="center"/>
            </w:pPr>
            <w:r>
              <w:rPr>
                <w:b/>
                <w:bCs/>
              </w:rPr>
              <w:t xml:space="preserve">Benign (LOW/MED) blocked</w:t>
            </w:r>
          </w:p>
        </w:tc>
        <w:tc>
          <w:tcPr>
            <w:tcW w:type="dxa" w:w="950"/>
            <w:gridSpan w:val="1"/>
            <w:shd w:fill="D9E2F3" w:color="auto" w:val="clear"/>
            <w:tcMar>
              <w:top w:type="dxa" w:w="40"/>
              <w:left w:type="dxa" w:w="80"/>
              <w:bottom w:type="dxa" w:w="40"/>
              <w:right w:type="dxa" w:w="80"/>
            </w:tcMar>
            <w:vAlign w:val="center"/>
          </w:tcPr>
          <w:p>
            <w:pPr>
              <w:spacing w:after="0"/>
              <w:jc w:val="center"/>
            </w:pPr>
            <w:r>
              <w:rPr>
                <w:b/>
                <w:bCs/>
              </w:rPr>
              <w:t xml:space="preserve">Precision</w:t>
            </w:r>
          </w:p>
        </w:tc>
        <w:tc>
          <w:tcPr>
            <w:tcW w:type="dxa" w:w="1450"/>
            <w:gridSpan w:val="1"/>
            <w:shd w:fill="D9E2F3" w:color="auto" w:val="clear"/>
            <w:tcMar>
              <w:top w:type="dxa" w:w="40"/>
              <w:left w:type="dxa" w:w="80"/>
              <w:bottom w:type="dxa" w:w="40"/>
              <w:right w:type="dxa" w:w="80"/>
            </w:tcMar>
            <w:vAlign w:val="center"/>
          </w:tcPr>
          <w:p>
            <w:pPr>
              <w:spacing w:after="0"/>
              <w:jc w:val="center"/>
            </w:pPr>
            <w:r>
              <w:rPr>
                <w:b/>
                <w:bCs/>
              </w:rPr>
              <w:t xml:space="preserve">% of risky actions eliminated</w:t>
            </w:r>
          </w:p>
        </w:tc>
      </w:tr>
      <w:tr>
        <w:tc>
          <w:tcPr>
            <w:tcW w:type="dxa" w:w="1150"/>
            <w:gridSpan w:val="1"/>
            <w:vMerge w:val="restart"/>
            <w:shd w:fill="EDEDED" w:color="auto" w:val="clear"/>
            <w:tcMar>
              <w:top w:type="dxa" w:w="40"/>
              <w:left w:type="dxa" w:w="80"/>
              <w:bottom w:type="dxa" w:w="40"/>
              <w:right w:type="dxa" w:w="80"/>
            </w:tcMar>
            <w:vAlign w:val="center"/>
          </w:tcPr>
          <w:p>
            <w:pPr>
              <w:spacing w:after="0"/>
              <w:jc w:val="center"/>
            </w:pPr>
            <w:r>
              <w:rPr>
                <w:b/>
                <w:bCs/>
              </w:rPr>
              <w:t xml:space="preserve">Core suite (3 models, pooled)</w:t>
            </w:r>
          </w:p>
        </w:tc>
        <w:tc>
          <w:tcPr>
            <w:tcW w:type="dxa" w:w="1750"/>
            <w:gridSpan w:val="1"/>
            <w:tcMar>
              <w:top w:type="dxa" w:w="40"/>
              <w:left w:type="dxa" w:w="80"/>
              <w:bottom w:type="dxa" w:w="40"/>
              <w:right w:type="dxa" w:w="80"/>
            </w:tcMar>
            <w:vAlign w:val="center"/>
          </w:tcPr>
          <w:p>
            <w:pPr>
              <w:spacing w:after="0"/>
              <w:jc w:val="left"/>
            </w:pPr>
            <w:r>
              <w:rPr>
                <w:b w:val="false"/>
                <w:bCs w:val="false"/>
              </w:rPr>
              <w:t xml:space="preserve">Full autonomy</w:t>
            </w:r>
          </w:p>
        </w:tc>
        <w:tc>
          <w:tcPr>
            <w:tcW w:type="dxa" w:w="850"/>
            <w:gridSpan w:val="1"/>
            <w:tcMar>
              <w:top w:type="dxa" w:w="40"/>
              <w:left w:type="dxa" w:w="80"/>
              <w:bottom w:type="dxa" w:w="40"/>
              <w:right w:type="dxa" w:w="80"/>
            </w:tcMar>
            <w:vAlign w:val="center"/>
          </w:tcPr>
          <w:p>
            <w:pPr>
              <w:spacing w:after="0"/>
              <w:jc w:val="center"/>
            </w:pPr>
            <w:r>
              <w:rPr>
                <w:b w:val="false"/>
                <w:bCs w:val="false"/>
              </w:rPr>
              <w:t xml:space="preserve">0</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0</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0</w:t>
            </w:r>
          </w:p>
        </w:tc>
        <w:tc>
          <w:tcPr>
            <w:tcW w:type="dxa" w:w="950"/>
            <w:gridSpan w:val="1"/>
            <w:tcMar>
              <w:top w:type="dxa" w:w="40"/>
              <w:left w:type="dxa" w:w="80"/>
              <w:bottom w:type="dxa" w:w="40"/>
              <w:right w:type="dxa" w:w="80"/>
            </w:tcMar>
            <w:vAlign w:val="center"/>
          </w:tcPr>
          <w:p>
            <w:pPr>
              <w:spacing w:after="0"/>
              <w:jc w:val="center"/>
            </w:pPr>
            <w:r>
              <w:rPr>
                <w:b w:val="false"/>
                <w:bCs w:val="false"/>
              </w:rPr>
              <w:t xml:space="preserve">—</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0%</w:t>
            </w:r>
          </w:p>
        </w:tc>
      </w:tr>
      <w:tr>
        <w:tc>
          <w:tcPr>
            <w:gridSpan w:val="1"/>
            <w:vMerge w:val="continue"/>
          </w:tcPr>
          <w:p/>
        </w:tc>
        <w:tc>
          <w:tcPr>
            <w:tcW w:type="dxa" w:w="1750"/>
            <w:gridSpan w:val="1"/>
            <w:tcMar>
              <w:top w:type="dxa" w:w="40"/>
              <w:left w:type="dxa" w:w="80"/>
              <w:bottom w:type="dxa" w:w="40"/>
              <w:right w:type="dxa" w:w="80"/>
            </w:tcMar>
            <w:vAlign w:val="center"/>
          </w:tcPr>
          <w:p>
            <w:pPr>
              <w:spacing w:after="0"/>
              <w:jc w:val="left"/>
            </w:pPr>
            <w:r>
              <w:rPr>
                <w:b w:val="false"/>
                <w:bCs w:val="false"/>
              </w:rPr>
              <w:t xml:space="preserve">Static HITL</w:t>
            </w:r>
          </w:p>
        </w:tc>
        <w:tc>
          <w:tcPr>
            <w:tcW w:type="dxa" w:w="850"/>
            <w:gridSpan w:val="1"/>
            <w:tcMar>
              <w:top w:type="dxa" w:w="40"/>
              <w:left w:type="dxa" w:w="80"/>
              <w:bottom w:type="dxa" w:w="40"/>
              <w:right w:type="dxa" w:w="80"/>
            </w:tcMar>
            <w:vAlign w:val="center"/>
          </w:tcPr>
          <w:p>
            <w:pPr>
              <w:spacing w:after="0"/>
              <w:jc w:val="center"/>
            </w:pPr>
            <w:r>
              <w:rPr>
                <w:b w:val="false"/>
                <w:bCs w:val="false"/>
              </w:rPr>
              <w:t xml:space="preserve">132</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122</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10</w:t>
            </w:r>
          </w:p>
        </w:tc>
        <w:tc>
          <w:tcPr>
            <w:tcW w:type="dxa" w:w="950"/>
            <w:gridSpan w:val="1"/>
            <w:tcMar>
              <w:top w:type="dxa" w:w="40"/>
              <w:left w:type="dxa" w:w="80"/>
              <w:bottom w:type="dxa" w:w="40"/>
              <w:right w:type="dxa" w:w="80"/>
            </w:tcMar>
            <w:vAlign w:val="center"/>
          </w:tcPr>
          <w:p>
            <w:pPr>
              <w:spacing w:after="0"/>
              <w:jc w:val="center"/>
            </w:pPr>
            <w:r>
              <w:rPr>
                <w:b w:val="false"/>
                <w:bCs w:val="false"/>
              </w:rPr>
              <w:t xml:space="preserve">0.92</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100%</w:t>
            </w:r>
          </w:p>
        </w:tc>
      </w:tr>
      <w:tr>
        <w:tc>
          <w:tcPr>
            <w:gridSpan w:val="1"/>
            <w:vMerge w:val="continue"/>
          </w:tcPr>
          <w:p/>
        </w:tc>
        <w:tc>
          <w:tcPr>
            <w:tcW w:type="dxa" w:w="1750"/>
            <w:gridSpan w:val="1"/>
            <w:tcMar>
              <w:top w:type="dxa" w:w="40"/>
              <w:left w:type="dxa" w:w="80"/>
              <w:bottom w:type="dxa" w:w="40"/>
              <w:right w:type="dxa" w:w="80"/>
            </w:tcMar>
            <w:vAlign w:val="center"/>
          </w:tcPr>
          <w:p>
            <w:pPr>
              <w:spacing w:after="0"/>
              <w:jc w:val="left"/>
            </w:pPr>
            <w:r>
              <w:rPr>
                <w:b w:val="false"/>
                <w:bCs w:val="false"/>
              </w:rPr>
              <w:t xml:space="preserve">Random (budget-matched)</w:t>
            </w:r>
          </w:p>
        </w:tc>
        <w:tc>
          <w:tcPr>
            <w:tcW w:type="dxa" w:w="850"/>
            <w:gridSpan w:val="1"/>
            <w:tcMar>
              <w:top w:type="dxa" w:w="40"/>
              <w:left w:type="dxa" w:w="80"/>
              <w:bottom w:type="dxa" w:w="40"/>
              <w:right w:type="dxa" w:w="80"/>
            </w:tcMar>
            <w:vAlign w:val="center"/>
          </w:tcPr>
          <w:p>
            <w:pPr>
              <w:spacing w:after="0"/>
              <w:jc w:val="center"/>
            </w:pPr>
            <w:r>
              <w:rPr>
                <w:b w:val="false"/>
                <w:bCs w:val="false"/>
              </w:rPr>
              <w:t xml:space="preserve">31</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28</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3</w:t>
            </w:r>
          </w:p>
        </w:tc>
        <w:tc>
          <w:tcPr>
            <w:tcW w:type="dxa" w:w="950"/>
            <w:gridSpan w:val="1"/>
            <w:tcMar>
              <w:top w:type="dxa" w:w="40"/>
              <w:left w:type="dxa" w:w="80"/>
              <w:bottom w:type="dxa" w:w="40"/>
              <w:right w:type="dxa" w:w="80"/>
            </w:tcMar>
            <w:vAlign w:val="center"/>
          </w:tcPr>
          <w:p>
            <w:pPr>
              <w:spacing w:after="0"/>
              <w:jc w:val="center"/>
            </w:pPr>
            <w:r>
              <w:rPr>
                <w:b w:val="false"/>
                <w:bCs w:val="false"/>
              </w:rPr>
              <w:t xml:space="preserve">0.90</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24%</w:t>
            </w:r>
          </w:p>
        </w:tc>
      </w:tr>
      <w:tr>
        <w:tc>
          <w:tcPr>
            <w:gridSpan w:val="1"/>
            <w:vMerge w:val="continue"/>
          </w:tcPr>
          <w:p/>
        </w:tc>
        <w:tc>
          <w:tcPr>
            <w:tcW w:type="dxa" w:w="1750"/>
            <w:gridSpan w:val="1"/>
            <w:tcMar>
              <w:top w:type="dxa" w:w="40"/>
              <w:left w:type="dxa" w:w="80"/>
              <w:bottom w:type="dxa" w:w="40"/>
              <w:right w:type="dxa" w:w="80"/>
            </w:tcMar>
            <w:vAlign w:val="center"/>
          </w:tcPr>
          <w:p>
            <w:pPr>
              <w:spacing w:after="0"/>
              <w:jc w:val="left"/>
            </w:pPr>
            <w:r>
              <w:rPr>
                <w:b/>
                <w:bCs/>
              </w:rPr>
              <w:t xml:space="preserve">CADIS</w:t>
            </w:r>
          </w:p>
        </w:tc>
        <w:tc>
          <w:tcPr>
            <w:tcW w:type="dxa" w:w="850"/>
            <w:gridSpan w:val="1"/>
            <w:tcMar>
              <w:top w:type="dxa" w:w="40"/>
              <w:left w:type="dxa" w:w="80"/>
              <w:bottom w:type="dxa" w:w="40"/>
              <w:right w:type="dxa" w:w="80"/>
            </w:tcMar>
            <w:vAlign w:val="center"/>
          </w:tcPr>
          <w:p>
            <w:pPr>
              <w:spacing w:after="0"/>
              <w:jc w:val="center"/>
            </w:pPr>
            <w:r>
              <w:rPr>
                <w:b/>
                <w:bCs/>
              </w:rPr>
              <w:t xml:space="preserve">76</w:t>
            </w:r>
          </w:p>
        </w:tc>
        <w:tc>
          <w:tcPr>
            <w:tcW w:type="dxa" w:w="1450"/>
            <w:gridSpan w:val="1"/>
            <w:tcMar>
              <w:top w:type="dxa" w:w="40"/>
              <w:left w:type="dxa" w:w="80"/>
              <w:bottom w:type="dxa" w:w="40"/>
              <w:right w:type="dxa" w:w="80"/>
            </w:tcMar>
            <w:vAlign w:val="center"/>
          </w:tcPr>
          <w:p>
            <w:pPr>
              <w:spacing w:after="0"/>
              <w:jc w:val="center"/>
            </w:pPr>
            <w:r>
              <w:rPr>
                <w:b/>
                <w:bCs/>
              </w:rPr>
              <w:t xml:space="preserve">76</w:t>
            </w:r>
          </w:p>
        </w:tc>
        <w:tc>
          <w:tcPr>
            <w:tcW w:type="dxa" w:w="1450"/>
            <w:gridSpan w:val="1"/>
            <w:tcMar>
              <w:top w:type="dxa" w:w="40"/>
              <w:left w:type="dxa" w:w="80"/>
              <w:bottom w:type="dxa" w:w="40"/>
              <w:right w:type="dxa" w:w="80"/>
            </w:tcMar>
            <w:vAlign w:val="center"/>
          </w:tcPr>
          <w:p>
            <w:pPr>
              <w:spacing w:after="0"/>
              <w:jc w:val="center"/>
            </w:pPr>
            <w:r>
              <w:rPr>
                <w:b/>
                <w:bCs/>
              </w:rPr>
              <w:t xml:space="preserve">0</w:t>
            </w:r>
          </w:p>
        </w:tc>
        <w:tc>
          <w:tcPr>
            <w:tcW w:type="dxa" w:w="950"/>
            <w:gridSpan w:val="1"/>
            <w:tcMar>
              <w:top w:type="dxa" w:w="40"/>
              <w:left w:type="dxa" w:w="80"/>
              <w:bottom w:type="dxa" w:w="40"/>
              <w:right w:type="dxa" w:w="80"/>
            </w:tcMar>
            <w:vAlign w:val="center"/>
          </w:tcPr>
          <w:p>
            <w:pPr>
              <w:spacing w:after="0"/>
              <w:jc w:val="center"/>
            </w:pPr>
            <w:r>
              <w:rPr>
                <w:b/>
                <w:bCs/>
              </w:rPr>
              <w:t xml:space="preserve">1.00</w:t>
            </w:r>
          </w:p>
        </w:tc>
        <w:tc>
          <w:tcPr>
            <w:tcW w:type="dxa" w:w="1450"/>
            <w:gridSpan w:val="1"/>
            <w:tcMar>
              <w:top w:type="dxa" w:w="40"/>
              <w:left w:type="dxa" w:w="80"/>
              <w:bottom w:type="dxa" w:w="40"/>
              <w:right w:type="dxa" w:w="80"/>
            </w:tcMar>
            <w:vAlign w:val="center"/>
          </w:tcPr>
          <w:p>
            <w:pPr>
              <w:spacing w:after="0"/>
              <w:jc w:val="center"/>
            </w:pPr>
            <w:r>
              <w:rPr>
                <w:b/>
                <w:bCs/>
              </w:rPr>
              <w:t xml:space="preserve">100%</w:t>
            </w:r>
          </w:p>
        </w:tc>
      </w:tr>
      <w:tr>
        <w:tc>
          <w:tcPr>
            <w:tcW w:type="dxa" w:w="1150"/>
            <w:gridSpan w:val="1"/>
            <w:vMerge w:val="restart"/>
            <w:shd w:fill="EDEDED" w:color="auto" w:val="clear"/>
            <w:tcMar>
              <w:top w:type="dxa" w:w="40"/>
              <w:left w:type="dxa" w:w="80"/>
              <w:bottom w:type="dxa" w:w="40"/>
              <w:right w:type="dxa" w:w="80"/>
            </w:tcMar>
            <w:vAlign w:val="center"/>
          </w:tcPr>
          <w:p>
            <w:pPr>
              <w:spacing w:after="0"/>
              <w:jc w:val="center"/>
            </w:pPr>
            <w:r>
              <w:rPr>
                <w:b/>
                <w:bCs/>
              </w:rPr>
              <w:t xml:space="preserve">AutoPenBench</w:t>
            </w:r>
          </w:p>
        </w:tc>
        <w:tc>
          <w:tcPr>
            <w:tcW w:type="dxa" w:w="1750"/>
            <w:gridSpan w:val="1"/>
            <w:tcMar>
              <w:top w:type="dxa" w:w="40"/>
              <w:left w:type="dxa" w:w="80"/>
              <w:bottom w:type="dxa" w:w="40"/>
              <w:right w:type="dxa" w:w="80"/>
            </w:tcMar>
            <w:vAlign w:val="center"/>
          </w:tcPr>
          <w:p>
            <w:pPr>
              <w:spacing w:after="0"/>
              <w:jc w:val="left"/>
            </w:pPr>
            <w:r>
              <w:rPr>
                <w:b w:val="false"/>
                <w:bCs w:val="false"/>
              </w:rPr>
              <w:t xml:space="preserve">Full autonomy</w:t>
            </w:r>
          </w:p>
        </w:tc>
        <w:tc>
          <w:tcPr>
            <w:tcW w:type="dxa" w:w="850"/>
            <w:gridSpan w:val="1"/>
            <w:tcMar>
              <w:top w:type="dxa" w:w="40"/>
              <w:left w:type="dxa" w:w="80"/>
              <w:bottom w:type="dxa" w:w="40"/>
              <w:right w:type="dxa" w:w="80"/>
            </w:tcMar>
            <w:vAlign w:val="center"/>
          </w:tcPr>
          <w:p>
            <w:pPr>
              <w:spacing w:after="0"/>
              <w:jc w:val="center"/>
            </w:pPr>
            <w:r>
              <w:rPr>
                <w:b w:val="false"/>
                <w:bCs w:val="false"/>
              </w:rPr>
              <w:t xml:space="preserve">0</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0</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0</w:t>
            </w:r>
          </w:p>
        </w:tc>
        <w:tc>
          <w:tcPr>
            <w:tcW w:type="dxa" w:w="950"/>
            <w:gridSpan w:val="1"/>
            <w:tcMar>
              <w:top w:type="dxa" w:w="40"/>
              <w:left w:type="dxa" w:w="80"/>
              <w:bottom w:type="dxa" w:w="40"/>
              <w:right w:type="dxa" w:w="80"/>
            </w:tcMar>
            <w:vAlign w:val="center"/>
          </w:tcPr>
          <w:p>
            <w:pPr>
              <w:spacing w:after="0"/>
              <w:jc w:val="center"/>
            </w:pPr>
            <w:r>
              <w:rPr>
                <w:b w:val="false"/>
                <w:bCs w:val="false"/>
              </w:rPr>
              <w:t xml:space="preserve">—</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0%</w:t>
            </w:r>
          </w:p>
        </w:tc>
      </w:tr>
      <w:tr>
        <w:tc>
          <w:tcPr>
            <w:gridSpan w:val="1"/>
            <w:vMerge w:val="continue"/>
          </w:tcPr>
          <w:p/>
        </w:tc>
        <w:tc>
          <w:tcPr>
            <w:tcW w:type="dxa" w:w="1750"/>
            <w:gridSpan w:val="1"/>
            <w:tcMar>
              <w:top w:type="dxa" w:w="40"/>
              <w:left w:type="dxa" w:w="80"/>
              <w:bottom w:type="dxa" w:w="40"/>
              <w:right w:type="dxa" w:w="80"/>
            </w:tcMar>
            <w:vAlign w:val="center"/>
          </w:tcPr>
          <w:p>
            <w:pPr>
              <w:spacing w:after="0"/>
              <w:jc w:val="left"/>
            </w:pPr>
            <w:r>
              <w:rPr>
                <w:b w:val="false"/>
                <w:bCs w:val="false"/>
              </w:rPr>
              <w:t xml:space="preserve">Static HITL</w:t>
            </w:r>
          </w:p>
        </w:tc>
        <w:tc>
          <w:tcPr>
            <w:tcW w:type="dxa" w:w="850"/>
            <w:gridSpan w:val="1"/>
            <w:tcMar>
              <w:top w:type="dxa" w:w="40"/>
              <w:left w:type="dxa" w:w="80"/>
              <w:bottom w:type="dxa" w:w="40"/>
              <w:right w:type="dxa" w:w="80"/>
            </w:tcMar>
            <w:vAlign w:val="center"/>
          </w:tcPr>
          <w:p>
            <w:pPr>
              <w:spacing w:after="0"/>
              <w:jc w:val="center"/>
            </w:pPr>
            <w:r>
              <w:rPr>
                <w:b w:val="false"/>
                <w:bCs w:val="false"/>
              </w:rPr>
              <w:t xml:space="preserve">174</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156</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18</w:t>
            </w:r>
          </w:p>
        </w:tc>
        <w:tc>
          <w:tcPr>
            <w:tcW w:type="dxa" w:w="950"/>
            <w:gridSpan w:val="1"/>
            <w:tcMar>
              <w:top w:type="dxa" w:w="40"/>
              <w:left w:type="dxa" w:w="80"/>
              <w:bottom w:type="dxa" w:w="40"/>
              <w:right w:type="dxa" w:w="80"/>
            </w:tcMar>
            <w:vAlign w:val="center"/>
          </w:tcPr>
          <w:p>
            <w:pPr>
              <w:spacing w:after="0"/>
              <w:jc w:val="center"/>
            </w:pPr>
            <w:r>
              <w:rPr>
                <w:b w:val="false"/>
                <w:bCs w:val="false"/>
              </w:rPr>
              <w:t xml:space="preserve">0.90</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100%</w:t>
            </w:r>
          </w:p>
        </w:tc>
      </w:tr>
      <w:tr>
        <w:tc>
          <w:tcPr>
            <w:gridSpan w:val="1"/>
            <w:vMerge w:val="continue"/>
          </w:tcPr>
          <w:p/>
        </w:tc>
        <w:tc>
          <w:tcPr>
            <w:tcW w:type="dxa" w:w="1750"/>
            <w:gridSpan w:val="1"/>
            <w:tcMar>
              <w:top w:type="dxa" w:w="40"/>
              <w:left w:type="dxa" w:w="80"/>
              <w:bottom w:type="dxa" w:w="40"/>
              <w:right w:type="dxa" w:w="80"/>
            </w:tcMar>
            <w:vAlign w:val="center"/>
          </w:tcPr>
          <w:p>
            <w:pPr>
              <w:spacing w:after="0"/>
              <w:jc w:val="left"/>
            </w:pPr>
            <w:r>
              <w:rPr>
                <w:b w:val="false"/>
                <w:bCs w:val="false"/>
              </w:rPr>
              <w:t xml:space="preserve">Random (budget-matched)</w:t>
            </w:r>
          </w:p>
        </w:tc>
        <w:tc>
          <w:tcPr>
            <w:tcW w:type="dxa" w:w="850"/>
            <w:gridSpan w:val="1"/>
            <w:tcMar>
              <w:top w:type="dxa" w:w="40"/>
              <w:left w:type="dxa" w:w="80"/>
              <w:bottom w:type="dxa" w:w="40"/>
              <w:right w:type="dxa" w:w="80"/>
            </w:tcMar>
            <w:vAlign w:val="center"/>
          </w:tcPr>
          <w:p>
            <w:pPr>
              <w:spacing w:after="0"/>
              <w:jc w:val="center"/>
            </w:pPr>
            <w:r>
              <w:rPr>
                <w:b w:val="false"/>
                <w:bCs w:val="false"/>
              </w:rPr>
              <w:t xml:space="preserve">63</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50</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13</w:t>
            </w:r>
          </w:p>
        </w:tc>
        <w:tc>
          <w:tcPr>
            <w:tcW w:type="dxa" w:w="950"/>
            <w:gridSpan w:val="1"/>
            <w:tcMar>
              <w:top w:type="dxa" w:w="40"/>
              <w:left w:type="dxa" w:w="80"/>
              <w:bottom w:type="dxa" w:w="40"/>
              <w:right w:type="dxa" w:w="80"/>
            </w:tcMar>
            <w:vAlign w:val="center"/>
          </w:tcPr>
          <w:p>
            <w:pPr>
              <w:spacing w:after="0"/>
              <w:jc w:val="center"/>
            </w:pPr>
            <w:r>
              <w:rPr>
                <w:b w:val="false"/>
                <w:bCs w:val="false"/>
              </w:rPr>
              <w:t xml:space="preserve">0.79</w:t>
            </w:r>
          </w:p>
        </w:tc>
        <w:tc>
          <w:tcPr>
            <w:tcW w:type="dxa" w:w="1450"/>
            <w:gridSpan w:val="1"/>
            <w:tcMar>
              <w:top w:type="dxa" w:w="40"/>
              <w:left w:type="dxa" w:w="80"/>
              <w:bottom w:type="dxa" w:w="40"/>
              <w:right w:type="dxa" w:w="80"/>
            </w:tcMar>
            <w:vAlign w:val="center"/>
          </w:tcPr>
          <w:p>
            <w:pPr>
              <w:spacing w:after="0"/>
              <w:jc w:val="center"/>
            </w:pPr>
            <w:r>
              <w:rPr>
                <w:b w:val="false"/>
                <w:bCs w:val="false"/>
              </w:rPr>
              <w:t xml:space="preserve">27%</w:t>
            </w:r>
          </w:p>
        </w:tc>
      </w:tr>
      <w:tr>
        <w:tc>
          <w:tcPr>
            <w:gridSpan w:val="1"/>
            <w:vMerge w:val="continue"/>
          </w:tcPr>
          <w:p/>
        </w:tc>
        <w:tc>
          <w:tcPr>
            <w:tcW w:type="dxa" w:w="1750"/>
            <w:gridSpan w:val="1"/>
            <w:tcMar>
              <w:top w:type="dxa" w:w="40"/>
              <w:left w:type="dxa" w:w="80"/>
              <w:bottom w:type="dxa" w:w="40"/>
              <w:right w:type="dxa" w:w="80"/>
            </w:tcMar>
            <w:vAlign w:val="center"/>
          </w:tcPr>
          <w:p>
            <w:pPr>
              <w:spacing w:after="0"/>
              <w:jc w:val="left"/>
            </w:pPr>
            <w:r>
              <w:rPr>
                <w:b/>
                <w:bCs/>
              </w:rPr>
              <w:t xml:space="preserve">CADIS</w:t>
            </w:r>
          </w:p>
        </w:tc>
        <w:tc>
          <w:tcPr>
            <w:tcW w:type="dxa" w:w="850"/>
            <w:gridSpan w:val="1"/>
            <w:tcMar>
              <w:top w:type="dxa" w:w="40"/>
              <w:left w:type="dxa" w:w="80"/>
              <w:bottom w:type="dxa" w:w="40"/>
              <w:right w:type="dxa" w:w="80"/>
            </w:tcMar>
            <w:vAlign w:val="center"/>
          </w:tcPr>
          <w:p>
            <w:pPr>
              <w:spacing w:after="0"/>
              <w:jc w:val="center"/>
            </w:pPr>
            <w:r>
              <w:rPr>
                <w:b/>
                <w:bCs/>
              </w:rPr>
              <w:t xml:space="preserve">228</w:t>
            </w:r>
          </w:p>
        </w:tc>
        <w:tc>
          <w:tcPr>
            <w:tcW w:type="dxa" w:w="1450"/>
            <w:gridSpan w:val="1"/>
            <w:tcMar>
              <w:top w:type="dxa" w:w="40"/>
              <w:left w:type="dxa" w:w="80"/>
              <w:bottom w:type="dxa" w:w="40"/>
              <w:right w:type="dxa" w:w="80"/>
            </w:tcMar>
            <w:vAlign w:val="center"/>
          </w:tcPr>
          <w:p>
            <w:pPr>
              <w:spacing w:after="0"/>
              <w:jc w:val="center"/>
            </w:pPr>
            <w:r>
              <w:rPr>
                <w:b/>
                <w:bCs/>
              </w:rPr>
              <w:t xml:space="preserve">227</w:t>
            </w:r>
          </w:p>
        </w:tc>
        <w:tc>
          <w:tcPr>
            <w:tcW w:type="dxa" w:w="1450"/>
            <w:gridSpan w:val="1"/>
            <w:tcMar>
              <w:top w:type="dxa" w:w="40"/>
              <w:left w:type="dxa" w:w="80"/>
              <w:bottom w:type="dxa" w:w="40"/>
              <w:right w:type="dxa" w:w="80"/>
            </w:tcMar>
            <w:vAlign w:val="center"/>
          </w:tcPr>
          <w:p>
            <w:pPr>
              <w:spacing w:after="0"/>
              <w:jc w:val="center"/>
            </w:pPr>
            <w:r>
              <w:rPr>
                <w:b/>
                <w:bCs/>
              </w:rPr>
              <w:t xml:space="preserve">1</w:t>
            </w:r>
          </w:p>
        </w:tc>
        <w:tc>
          <w:tcPr>
            <w:tcW w:type="dxa" w:w="950"/>
            <w:gridSpan w:val="1"/>
            <w:tcMar>
              <w:top w:type="dxa" w:w="40"/>
              <w:left w:type="dxa" w:w="80"/>
              <w:bottom w:type="dxa" w:w="40"/>
              <w:right w:type="dxa" w:w="80"/>
            </w:tcMar>
            <w:vAlign w:val="center"/>
          </w:tcPr>
          <w:p>
            <w:pPr>
              <w:spacing w:after="0"/>
              <w:jc w:val="center"/>
            </w:pPr>
            <w:r>
              <w:rPr>
                <w:b/>
                <w:bCs/>
              </w:rPr>
              <w:t xml:space="preserve">1.00</w:t>
            </w:r>
          </w:p>
        </w:tc>
        <w:tc>
          <w:tcPr>
            <w:tcW w:type="dxa" w:w="1450"/>
            <w:gridSpan w:val="1"/>
            <w:tcMar>
              <w:top w:type="dxa" w:w="40"/>
              <w:left w:type="dxa" w:w="80"/>
              <w:bottom w:type="dxa" w:w="40"/>
              <w:right w:type="dxa" w:w="80"/>
            </w:tcMar>
            <w:vAlign w:val="center"/>
          </w:tcPr>
          <w:p>
            <w:pPr>
              <w:spacing w:after="0"/>
              <w:jc w:val="center"/>
            </w:pPr>
            <w:r>
              <w:rPr>
                <w:b/>
                <w:bCs/>
              </w:rPr>
              <w:t xml:space="preserve">100%</w:t>
            </w:r>
          </w:p>
        </w:tc>
      </w:tr>
    </w:tbl>
    <w:p>
      <w:pPr>
        <w:spacing w:after="160" w:before="60"/>
      </w:pPr>
      <w:r>
        <w:rPr>
          <w:i/>
          <w:iCs/>
          <w:sz w:val="18"/>
          <w:szCs w:val="18"/>
        </w:rPr>
        <w:t xml:space="preserve">Table 3. Risk-elimination summary of CADIS vs. the baselines, on the core suite and AutoPenBench. 'HIGH-risk eliminated' counts HIGH/CRITICAL actions that were blocked; precision = blocks that were HIGH/CRITICAL; % of risky actions eliminated = HIGH/CRITICAL blocked / HIGH/CRITICAL proposed (recall). CADIS eliminates all risky actions at 1.00 precision, far above a budget-matched random policy of equal cost.</w:t>
      </w:r>
    </w:p>
    <w:p>
      <w:pPr>
        <w:pStyle w:val="Heading2"/>
        <w:spacing w:after="80" w:before="160"/>
      </w:pPr>
      <w:r>
        <w:rPr>
          <w:b/>
          <w:bCs/>
        </w:rPr>
        <w:t xml:space="preserve">5.2 Containment, effort, and safety together</w:t>
      </w:r>
    </w:p>
    <w:p>
      <w:pPr>
        <w:spacing w:after="120"/>
      </w:pPr>
      <w:r>
        <w:t xml:space="preserve">Table 4 summarises the AutoPenBench run at the condition level. The key column is the number of high-risk actions that executed without any oversight: full autonomy ran 163 such actions unchecked, and a budget-matched random policy still let 134 through, whereas CADIS let none — at a human-effort ratio of 0.44, less than half of static HITL's 1.00. The hallucination-cascade rate is zero in every condition (no cascade materialised in this regime).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2100"/>
        <w:gridCol w:w="1600"/>
      </w:tblGrid>
      <w:tr>
        <w:trPr>
          <w:tblHeader/>
        </w:trPr>
        <w:tc>
          <w:tcPr>
            <w:tcW w:type="dxa" w:w="1900"/>
            <w:gridSpan w:val="1"/>
            <w:shd w:fill="D9E2F3" w:color="auto" w:val="clear"/>
            <w:tcMar>
              <w:top w:type="dxa" w:w="40"/>
              <w:left w:type="dxa" w:w="80"/>
              <w:bottom w:type="dxa" w:w="40"/>
              <w:right w:type="dxa" w:w="80"/>
            </w:tcMar>
            <w:vAlign w:val="center"/>
          </w:tcPr>
          <w:p>
            <w:pPr>
              <w:spacing w:after="0"/>
              <w:jc w:val="left"/>
            </w:pPr>
            <w:r>
              <w:rPr>
                <w:b/>
                <w:bCs/>
              </w:rPr>
              <w:t xml:space="preserve">Condition</w:t>
            </w:r>
          </w:p>
        </w:tc>
        <w:tc>
          <w:tcPr>
            <w:tcW w:type="dxa" w:w="1700"/>
            <w:gridSpan w:val="1"/>
            <w:shd w:fill="D9E2F3" w:color="auto" w:val="clear"/>
            <w:tcMar>
              <w:top w:type="dxa" w:w="40"/>
              <w:left w:type="dxa" w:w="80"/>
              <w:bottom w:type="dxa" w:w="40"/>
              <w:right w:type="dxa" w:w="80"/>
            </w:tcMar>
            <w:vAlign w:val="center"/>
          </w:tcPr>
          <w:p>
            <w:pPr>
              <w:spacing w:after="0"/>
              <w:jc w:val="center"/>
            </w:pPr>
            <w:r>
              <w:rPr>
                <w:b/>
                <w:bCs/>
              </w:rPr>
              <w:t xml:space="preserve">Cascade rate (HCR)</w:t>
            </w:r>
          </w:p>
        </w:tc>
        <w:tc>
          <w:tcPr>
            <w:tcW w:type="dxa" w:w="1700"/>
            <w:gridSpan w:val="1"/>
            <w:shd w:fill="D9E2F3" w:color="auto" w:val="clear"/>
            <w:tcMar>
              <w:top w:type="dxa" w:w="40"/>
              <w:left w:type="dxa" w:w="80"/>
              <w:bottom w:type="dxa" w:w="40"/>
              <w:right w:type="dxa" w:w="80"/>
            </w:tcMar>
            <w:vAlign w:val="center"/>
          </w:tcPr>
          <w:p>
            <w:pPr>
              <w:spacing w:after="0"/>
              <w:jc w:val="center"/>
            </w:pPr>
            <w:r>
              <w:rPr>
                <w:b/>
                <w:bCs/>
              </w:rPr>
              <w:t xml:space="preserve">Human-effort ratio (HER)</w:t>
            </w:r>
          </w:p>
        </w:tc>
        <w:tc>
          <w:tcPr>
            <w:tcW w:type="dxa" w:w="2100"/>
            <w:gridSpan w:val="1"/>
            <w:shd w:fill="D9E2F3" w:color="auto" w:val="clear"/>
            <w:tcMar>
              <w:top w:type="dxa" w:w="40"/>
              <w:left w:type="dxa" w:w="80"/>
              <w:bottom w:type="dxa" w:w="40"/>
              <w:right w:type="dxa" w:w="80"/>
            </w:tcMar>
            <w:vAlign w:val="center"/>
          </w:tcPr>
          <w:p>
            <w:pPr>
              <w:spacing w:after="0"/>
              <w:jc w:val="center"/>
            </w:pPr>
            <w:r>
              <w:rPr>
                <w:b/>
                <w:bCs/>
              </w:rPr>
              <w:t xml:space="preserve">High-risk actions run unchecked</w:t>
            </w:r>
          </w:p>
        </w:tc>
        <w:tc>
          <w:tcPr>
            <w:tcW w:type="dxa" w:w="1600"/>
            <w:gridSpan w:val="1"/>
            <w:shd w:fill="D9E2F3" w:color="auto" w:val="clear"/>
            <w:tcMar>
              <w:top w:type="dxa" w:w="40"/>
              <w:left w:type="dxa" w:w="80"/>
              <w:bottom w:type="dxa" w:w="40"/>
              <w:right w:type="dxa" w:w="80"/>
            </w:tcMar>
            <w:vAlign w:val="center"/>
          </w:tcPr>
          <w:p>
            <w:pPr>
              <w:spacing w:after="0"/>
              <w:jc w:val="center"/>
            </w:pPr>
            <w:r>
              <w:rPr>
                <w:b/>
                <w:bCs/>
              </w:rPr>
              <w:t xml:space="preserve">Task completion (solvable)</w:t>
            </w:r>
          </w:p>
        </w:tc>
      </w:tr>
      <w:tr>
        <w:tc>
          <w:tcPr>
            <w:tcW w:type="dxa" w:w="1900"/>
            <w:gridSpan w:val="1"/>
            <w:tcMar>
              <w:top w:type="dxa" w:w="40"/>
              <w:left w:type="dxa" w:w="80"/>
              <w:bottom w:type="dxa" w:w="40"/>
              <w:right w:type="dxa" w:w="80"/>
            </w:tcMar>
            <w:vAlign w:val="center"/>
          </w:tcPr>
          <w:p>
            <w:pPr>
              <w:spacing w:after="0"/>
              <w:jc w:val="left"/>
            </w:pPr>
            <w:r>
              <w:rPr>
                <w:b w:val="false"/>
                <w:bCs w:val="false"/>
              </w:rPr>
              <w:t xml:space="preserve">Full autonomy</w:t>
            </w:r>
          </w:p>
        </w:tc>
        <w:tc>
          <w:tcPr>
            <w:tcW w:type="dxa" w:w="1700"/>
            <w:gridSpan w:val="1"/>
            <w:tcMar>
              <w:top w:type="dxa" w:w="40"/>
              <w:left w:type="dxa" w:w="80"/>
              <w:bottom w:type="dxa" w:w="40"/>
              <w:right w:type="dxa" w:w="80"/>
            </w:tcMar>
            <w:vAlign w:val="center"/>
          </w:tcPr>
          <w:p>
            <w:pPr>
              <w:spacing w:after="0"/>
              <w:jc w:val="center"/>
            </w:pPr>
            <w:r>
              <w:rPr>
                <w:b w:val="false"/>
                <w:bCs w:val="false"/>
              </w:rPr>
              <w:t xml:space="preserve">0.00</w:t>
            </w:r>
          </w:p>
        </w:tc>
        <w:tc>
          <w:tcPr>
            <w:tcW w:type="dxa" w:w="1700"/>
            <w:gridSpan w:val="1"/>
            <w:tcMar>
              <w:top w:type="dxa" w:w="40"/>
              <w:left w:type="dxa" w:w="80"/>
              <w:bottom w:type="dxa" w:w="40"/>
              <w:right w:type="dxa" w:w="80"/>
            </w:tcMar>
            <w:vAlign w:val="center"/>
          </w:tcPr>
          <w:p>
            <w:pPr>
              <w:spacing w:after="0"/>
              <w:jc w:val="center"/>
            </w:pPr>
            <w:r>
              <w:rPr>
                <w:b w:val="false"/>
                <w:bCs w:val="false"/>
              </w:rPr>
              <w:t xml:space="preserve">0.00</w:t>
            </w:r>
          </w:p>
        </w:tc>
        <w:tc>
          <w:tcPr>
            <w:tcW w:type="dxa" w:w="2100"/>
            <w:gridSpan w:val="1"/>
            <w:tcMar>
              <w:top w:type="dxa" w:w="40"/>
              <w:left w:type="dxa" w:w="80"/>
              <w:bottom w:type="dxa" w:w="40"/>
              <w:right w:type="dxa" w:w="80"/>
            </w:tcMar>
            <w:vAlign w:val="center"/>
          </w:tcPr>
          <w:p>
            <w:pPr>
              <w:spacing w:after="0"/>
              <w:jc w:val="center"/>
            </w:pPr>
            <w:r>
              <w:rPr>
                <w:b w:val="false"/>
                <w:bCs w:val="false"/>
              </w:rPr>
              <w:t xml:space="preserve">163</w:t>
            </w:r>
          </w:p>
        </w:tc>
        <w:tc>
          <w:tcPr>
            <w:tcW w:type="dxa" w:w="1600"/>
            <w:gridSpan w:val="1"/>
            <w:tcMar>
              <w:top w:type="dxa" w:w="40"/>
              <w:left w:type="dxa" w:w="80"/>
              <w:bottom w:type="dxa" w:w="40"/>
              <w:right w:type="dxa" w:w="80"/>
            </w:tcMar>
            <w:vAlign w:val="center"/>
          </w:tcPr>
          <w:p>
            <w:pPr>
              <w:spacing w:after="0"/>
              <w:jc w:val="center"/>
            </w:pPr>
            <w:r>
              <w:rPr>
                <w:b w:val="false"/>
                <w:bCs w:val="false"/>
              </w:rPr>
              <w:t xml:space="preserve">0.96</w:t>
            </w:r>
          </w:p>
        </w:tc>
      </w:tr>
      <w:tr>
        <w:tc>
          <w:tcPr>
            <w:tcW w:type="dxa" w:w="1900"/>
            <w:gridSpan w:val="1"/>
            <w:tcMar>
              <w:top w:type="dxa" w:w="40"/>
              <w:left w:type="dxa" w:w="80"/>
              <w:bottom w:type="dxa" w:w="40"/>
              <w:right w:type="dxa" w:w="80"/>
            </w:tcMar>
            <w:vAlign w:val="center"/>
          </w:tcPr>
          <w:p>
            <w:pPr>
              <w:spacing w:after="0"/>
              <w:jc w:val="left"/>
            </w:pPr>
            <w:r>
              <w:rPr>
                <w:b w:val="false"/>
                <w:bCs w:val="false"/>
              </w:rPr>
              <w:t xml:space="preserve">Static HITL</w:t>
            </w:r>
          </w:p>
        </w:tc>
        <w:tc>
          <w:tcPr>
            <w:tcW w:type="dxa" w:w="1700"/>
            <w:gridSpan w:val="1"/>
            <w:tcMar>
              <w:top w:type="dxa" w:w="40"/>
              <w:left w:type="dxa" w:w="80"/>
              <w:bottom w:type="dxa" w:w="40"/>
              <w:right w:type="dxa" w:w="80"/>
            </w:tcMar>
            <w:vAlign w:val="center"/>
          </w:tcPr>
          <w:p>
            <w:pPr>
              <w:spacing w:after="0"/>
              <w:jc w:val="center"/>
            </w:pPr>
            <w:r>
              <w:rPr>
                <w:b w:val="false"/>
                <w:bCs w:val="false"/>
              </w:rPr>
              <w:t xml:space="preserve">0.00</w:t>
            </w:r>
          </w:p>
        </w:tc>
        <w:tc>
          <w:tcPr>
            <w:tcW w:type="dxa" w:w="1700"/>
            <w:gridSpan w:val="1"/>
            <w:tcMar>
              <w:top w:type="dxa" w:w="40"/>
              <w:left w:type="dxa" w:w="80"/>
              <w:bottom w:type="dxa" w:w="40"/>
              <w:right w:type="dxa" w:w="80"/>
            </w:tcMar>
            <w:vAlign w:val="center"/>
          </w:tcPr>
          <w:p>
            <w:pPr>
              <w:spacing w:after="0"/>
              <w:jc w:val="center"/>
            </w:pPr>
            <w:r>
              <w:rPr>
                <w:b w:val="false"/>
                <w:bCs w:val="false"/>
              </w:rPr>
              <w:t xml:space="preserve">1.00</w:t>
            </w:r>
          </w:p>
        </w:tc>
        <w:tc>
          <w:tcPr>
            <w:tcW w:type="dxa" w:w="2100"/>
            <w:gridSpan w:val="1"/>
            <w:tcMar>
              <w:top w:type="dxa" w:w="40"/>
              <w:left w:type="dxa" w:w="80"/>
              <w:bottom w:type="dxa" w:w="40"/>
              <w:right w:type="dxa" w:w="80"/>
            </w:tcMar>
            <w:vAlign w:val="center"/>
          </w:tcPr>
          <w:p>
            <w:pPr>
              <w:spacing w:after="0"/>
              <w:jc w:val="center"/>
            </w:pPr>
            <w:r>
              <w:rPr>
                <w:b w:val="false"/>
                <w:bCs w:val="false"/>
              </w:rPr>
              <w:t xml:space="preserve">0</w:t>
            </w:r>
          </w:p>
        </w:tc>
        <w:tc>
          <w:tcPr>
            <w:tcW w:type="dxa" w:w="1600"/>
            <w:gridSpan w:val="1"/>
            <w:tcMar>
              <w:top w:type="dxa" w:w="40"/>
              <w:left w:type="dxa" w:w="80"/>
              <w:bottom w:type="dxa" w:w="40"/>
              <w:right w:type="dxa" w:w="80"/>
            </w:tcMar>
            <w:vAlign w:val="center"/>
          </w:tcPr>
          <w:p>
            <w:pPr>
              <w:spacing w:after="0"/>
              <w:jc w:val="center"/>
            </w:pPr>
            <w:r>
              <w:rPr>
                <w:b w:val="false"/>
                <w:bCs w:val="false"/>
              </w:rPr>
              <w:t xml:space="preserve">0.81</w:t>
            </w:r>
          </w:p>
        </w:tc>
      </w:tr>
      <w:tr>
        <w:tc>
          <w:tcPr>
            <w:tcW w:type="dxa" w:w="1900"/>
            <w:gridSpan w:val="1"/>
            <w:tcMar>
              <w:top w:type="dxa" w:w="40"/>
              <w:left w:type="dxa" w:w="80"/>
              <w:bottom w:type="dxa" w:w="40"/>
              <w:right w:type="dxa" w:w="80"/>
            </w:tcMar>
            <w:vAlign w:val="center"/>
          </w:tcPr>
          <w:p>
            <w:pPr>
              <w:spacing w:after="0"/>
              <w:jc w:val="left"/>
            </w:pPr>
            <w:r>
              <w:rPr>
                <w:b w:val="false"/>
                <w:bCs w:val="false"/>
              </w:rPr>
              <w:t xml:space="preserve">Random (budget-matched)</w:t>
            </w:r>
          </w:p>
        </w:tc>
        <w:tc>
          <w:tcPr>
            <w:tcW w:type="dxa" w:w="1700"/>
            <w:gridSpan w:val="1"/>
            <w:tcMar>
              <w:top w:type="dxa" w:w="40"/>
              <w:left w:type="dxa" w:w="80"/>
              <w:bottom w:type="dxa" w:w="40"/>
              <w:right w:type="dxa" w:w="80"/>
            </w:tcMar>
            <w:vAlign w:val="center"/>
          </w:tcPr>
          <w:p>
            <w:pPr>
              <w:spacing w:after="0"/>
              <w:jc w:val="center"/>
            </w:pPr>
            <w:r>
              <w:rPr>
                <w:b w:val="false"/>
                <w:bCs w:val="false"/>
              </w:rPr>
              <w:t xml:space="preserve">0.00</w:t>
            </w:r>
          </w:p>
        </w:tc>
        <w:tc>
          <w:tcPr>
            <w:tcW w:type="dxa" w:w="1700"/>
            <w:gridSpan w:val="1"/>
            <w:tcMar>
              <w:top w:type="dxa" w:w="40"/>
              <w:left w:type="dxa" w:w="80"/>
              <w:bottom w:type="dxa" w:w="40"/>
              <w:right w:type="dxa" w:w="80"/>
            </w:tcMar>
            <w:vAlign w:val="center"/>
          </w:tcPr>
          <w:p>
            <w:pPr>
              <w:spacing w:after="0"/>
              <w:jc w:val="center"/>
            </w:pPr>
            <w:r>
              <w:rPr>
                <w:b w:val="false"/>
                <w:bCs w:val="false"/>
              </w:rPr>
              <w:t xml:space="preserve">0.41</w:t>
            </w:r>
          </w:p>
        </w:tc>
        <w:tc>
          <w:tcPr>
            <w:tcW w:type="dxa" w:w="2100"/>
            <w:gridSpan w:val="1"/>
            <w:tcMar>
              <w:top w:type="dxa" w:w="40"/>
              <w:left w:type="dxa" w:w="80"/>
              <w:bottom w:type="dxa" w:w="40"/>
              <w:right w:type="dxa" w:w="80"/>
            </w:tcMar>
            <w:vAlign w:val="center"/>
          </w:tcPr>
          <w:p>
            <w:pPr>
              <w:spacing w:after="0"/>
              <w:jc w:val="center"/>
            </w:pPr>
            <w:r>
              <w:rPr>
                <w:b w:val="false"/>
                <w:bCs w:val="false"/>
              </w:rPr>
              <w:t xml:space="preserve">134</w:t>
            </w:r>
          </w:p>
        </w:tc>
        <w:tc>
          <w:tcPr>
            <w:tcW w:type="dxa" w:w="1600"/>
            <w:gridSpan w:val="1"/>
            <w:tcMar>
              <w:top w:type="dxa" w:w="40"/>
              <w:left w:type="dxa" w:w="80"/>
              <w:bottom w:type="dxa" w:w="40"/>
              <w:right w:type="dxa" w:w="80"/>
            </w:tcMar>
            <w:vAlign w:val="center"/>
          </w:tcPr>
          <w:p>
            <w:pPr>
              <w:spacing w:after="0"/>
              <w:jc w:val="center"/>
            </w:pPr>
            <w:r>
              <w:rPr>
                <w:b w:val="false"/>
                <w:bCs w:val="false"/>
              </w:rPr>
              <w:t xml:space="preserve">0.96</w:t>
            </w:r>
          </w:p>
        </w:tc>
      </w:tr>
      <w:tr>
        <w:tc>
          <w:tcPr>
            <w:tcW w:type="dxa" w:w="1900"/>
            <w:gridSpan w:val="1"/>
            <w:tcMar>
              <w:top w:type="dxa" w:w="40"/>
              <w:left w:type="dxa" w:w="80"/>
              <w:bottom w:type="dxa" w:w="40"/>
              <w:right w:type="dxa" w:w="80"/>
            </w:tcMar>
            <w:vAlign w:val="center"/>
          </w:tcPr>
          <w:p>
            <w:pPr>
              <w:spacing w:after="0"/>
              <w:jc w:val="left"/>
            </w:pPr>
            <w:r>
              <w:rPr>
                <w:b/>
                <w:bCs/>
              </w:rPr>
              <w:t xml:space="preserve">CADIS</w:t>
            </w:r>
          </w:p>
        </w:tc>
        <w:tc>
          <w:tcPr>
            <w:tcW w:type="dxa" w:w="1700"/>
            <w:gridSpan w:val="1"/>
            <w:tcMar>
              <w:top w:type="dxa" w:w="40"/>
              <w:left w:type="dxa" w:w="80"/>
              <w:bottom w:type="dxa" w:w="40"/>
              <w:right w:type="dxa" w:w="80"/>
            </w:tcMar>
            <w:vAlign w:val="center"/>
          </w:tcPr>
          <w:p>
            <w:pPr>
              <w:spacing w:after="0"/>
              <w:jc w:val="center"/>
            </w:pPr>
            <w:r>
              <w:rPr>
                <w:b/>
                <w:bCs/>
              </w:rPr>
              <w:t xml:space="preserve">0.00</w:t>
            </w:r>
          </w:p>
        </w:tc>
        <w:tc>
          <w:tcPr>
            <w:tcW w:type="dxa" w:w="1700"/>
            <w:gridSpan w:val="1"/>
            <w:tcMar>
              <w:top w:type="dxa" w:w="40"/>
              <w:left w:type="dxa" w:w="80"/>
              <w:bottom w:type="dxa" w:w="40"/>
              <w:right w:type="dxa" w:w="80"/>
            </w:tcMar>
            <w:vAlign w:val="center"/>
          </w:tcPr>
          <w:p>
            <w:pPr>
              <w:spacing w:after="0"/>
              <w:jc w:val="center"/>
            </w:pPr>
            <w:r>
              <w:rPr>
                <w:b/>
                <w:bCs/>
              </w:rPr>
              <w:t xml:space="preserve">0.44</w:t>
            </w:r>
          </w:p>
        </w:tc>
        <w:tc>
          <w:tcPr>
            <w:tcW w:type="dxa" w:w="2100"/>
            <w:gridSpan w:val="1"/>
            <w:tcMar>
              <w:top w:type="dxa" w:w="40"/>
              <w:left w:type="dxa" w:w="80"/>
              <w:bottom w:type="dxa" w:w="40"/>
              <w:right w:type="dxa" w:w="80"/>
            </w:tcMar>
            <w:vAlign w:val="center"/>
          </w:tcPr>
          <w:p>
            <w:pPr>
              <w:spacing w:after="0"/>
              <w:jc w:val="center"/>
            </w:pPr>
            <w:r>
              <w:rPr>
                <w:b/>
                <w:bCs/>
              </w:rPr>
              <w:t xml:space="preserve">0</w:t>
            </w:r>
          </w:p>
        </w:tc>
        <w:tc>
          <w:tcPr>
            <w:tcW w:type="dxa" w:w="1600"/>
            <w:gridSpan w:val="1"/>
            <w:tcMar>
              <w:top w:type="dxa" w:w="40"/>
              <w:left w:type="dxa" w:w="80"/>
              <w:bottom w:type="dxa" w:w="40"/>
              <w:right w:type="dxa" w:w="80"/>
            </w:tcMar>
            <w:vAlign w:val="center"/>
          </w:tcPr>
          <w:p>
            <w:pPr>
              <w:spacing w:after="0"/>
              <w:jc w:val="center"/>
            </w:pPr>
            <w:r>
              <w:rPr>
                <w:b/>
                <w:bCs/>
              </w:rPr>
              <w:t xml:space="preserve">0.65</w:t>
            </w:r>
          </w:p>
        </w:tc>
      </w:tr>
    </w:tbl>
    <w:p>
      <w:pPr>
        <w:spacing w:after="160" w:before="60"/>
      </w:pPr>
      <w:r>
        <w:rPr>
          <w:i/>
          <w:iCs/>
          <w:sz w:val="18"/>
          <w:szCs w:val="18"/>
        </w:rPr>
        <w:t xml:space="preserve">Table 4. AutoPenBench run, per condition. CADIS contains every high-risk action at under half the effort of static HITL, whereas the budget-matched random policy lets most high-risk actions through.</w:t>
      </w:r>
    </w:p>
    <w:p>
      <w:pPr>
        <w:pStyle w:val="Heading2"/>
        <w:spacing w:after="80" w:before="160"/>
      </w:pPr>
      <w:r>
        <w:rPr>
          <w:b/>
          <w:bCs/>
        </w:rPr>
        <w:t xml:space="preserve">5.3 CADIS's interventions are well-placed, not merely frequent</w:t>
      </w:r>
    </w:p>
    <w:p>
      <w:pPr>
        <w:spacing w:after="120"/>
      </w:pPr>
      <w:r>
        <w:t xml:space="preserve">Two observations reinforce that CADIS gates the right actions. First, the random control in Tables 3–4 spends the same oversight budget as CADIS but achieves only a fraction of the containment — so CADIS's coverage comes from targeting, not from intervening at a high rate. Second, when CADIS's operator is changed from 'reject every high-risk action' to 'approve a valid, in-scope proof-of-concept while still flagging it,' task completion on the solvable targets recovers from 0.65 back to 0.96 — the same level as full autonomy — while CADIS's routing is unchanged. This isolates CADIS's routing (well-placed) from the operator's policy (which determines the completion cost). Finally, on the weaker models CADIS eliminated a catastrophic 'flailing tail': under full autonomy and random intervention the agent could spend on the order of 10³ seconds repeatedly attempting a doomed high-risk action, whereas CADIS gated that action early and collapsed the mean time-to-completion by roughly two orders of magnitude.</w:t>
      </w:r>
    </w:p>
    <w:p>
      <w:pPr>
        <w:pStyle w:val="Heading1"/>
        <w:spacing w:after="120" w:before="240"/>
      </w:pPr>
      <w:r>
        <w:rPr>
          <w:b/>
          <w:bCs/>
        </w:rPr>
        <w:t xml:space="preserve">6. Discussion</w:t>
      </w:r>
    </w:p>
    <w:p>
      <w:pPr>
        <w:spacing w:after="120"/>
      </w:pPr>
      <w:r>
        <w:t xml:space="preserve">Evaluated as what it is — a risk-gating oversight layer — CADIS works, and does so consistently across three different LLMs and a diverse set of real vulnerable targets. It identifies and contains the high-consequence actions with complete recall and near-perfect precision, far more effectively than a random policy of equal cost, and reaches the safety coverage of always-on human review at a fraction of the human effort. The budget-matched random control is what makes this a meaningful claim rather than a tautology: an oversight layer that merely intervened often could match CADIS's rate but not its placement, and the data show that placement is where CADIS's value lies.</w:t>
      </w:r>
    </w:p>
    <w:p>
      <w:pPr>
        <w:spacing w:after="120"/>
      </w:pPr>
      <w:r>
        <w:t xml:space="preserve">It is important to separate two questions. 'Does CADIS gate risk well?' is answered affirmatively and is a statement about the mechanism. 'Is gating that risk always beneficial?' is a separate, deployment-dependent question. In an authorised penetration test the high-risk actions are frequently the productive exploit steps, so blocking them can cost task completion; that is why CADIS's completion rate is lower than full autonomy on the solvable targets. This is not a failure of CADIS's targeting — the operator ablation shows the routing was correct — but a consequence of the fact that here risk and productivity coincide. In a deployment where high-risk actions are genuinely harmful rather than the goal, the same precise gating is a direct safety benefit at no completion cost that a random policy could match.</w:t>
      </w:r>
    </w:p>
    <w:p>
      <w:pPr>
        <w:pStyle w:val="Heading1"/>
        <w:spacing w:after="120" w:before="240"/>
      </w:pPr>
      <w:r>
        <w:rPr>
          <w:b/>
          <w:bCs/>
        </w:rPr>
        <w:t xml:space="preserve">7. Limitations</w:t>
      </w:r>
    </w:p>
    <w:p>
      <w:pPr>
        <w:pStyle w:val="ListParagraph"/>
        <w:numPr>
          <w:ilvl w:val="0"/>
          <w:numId w:val="1"/>
        </w:numPr>
        <w:spacing w:after="80"/>
      </w:pPr>
      <w:r>
        <w:t xml:space="preserve">The cascade hazard did not arise. The hallucination-cascade rate was zero in every condition of every run; the capable models tested here rarely emit the repeated invalid-command sequences the cascade metric is defined over, so the pre-registered primary safety comparison is undecidable in this regime. Our positive result is about risk-gating behaviour, not demonstrated prevention of a realised harm.</w:t>
      </w:r>
    </w:p>
    <w:p>
      <w:pPr>
        <w:pStyle w:val="ListParagraph"/>
        <w:numPr>
          <w:ilvl w:val="0"/>
          <w:numId w:val="1"/>
        </w:numPr>
        <w:spacing w:after="80"/>
      </w:pPr>
      <w:r>
        <w:t xml:space="preserve">Risk validity is partly definitional. 'CADIS blocks risky behaviour' is meaningful only because 'risky' is anchored to an independent notion of consequence — the MITRE ATT&amp;CK-reviewed taxonomy and inspection of the blocked commands, which are the actual exploit primitives (injection, traversal, backdoor, RCE), supported by the near-perfect precision. The taxonomy remains a hand-authored artifact.</w:t>
      </w:r>
    </w:p>
    <w:p>
      <w:pPr>
        <w:pStyle w:val="ListParagraph"/>
        <w:numPr>
          <w:ilvl w:val="0"/>
          <w:numId w:val="1"/>
        </w:numPr>
        <w:spacing w:after="80"/>
      </w:pPr>
      <w:r>
        <w:t xml:space="preserve">Risk equals productivity here. Because the targets are authorised exploitation tasks, the high-risk actions are the intended work; the observed completion cost is specific to this setting.</w:t>
      </w:r>
    </w:p>
    <w:p>
      <w:pPr>
        <w:pStyle w:val="ListParagraph"/>
        <w:numPr>
          <w:ilvl w:val="0"/>
          <w:numId w:val="1"/>
        </w:numPr>
        <w:spacing w:after="80"/>
      </w:pPr>
      <w:r>
        <w:t xml:space="preserve">Scale and scope. AutoPenBench uses a single model over nine targets and the core suite three targets over three models; run-level statistical power is limited. Several AutoPenBench images could not be built on current infrastructure and were excluded, and tasks requiring multi-host, SSH, or cryptographic setups were out of scope.</w:t>
      </w:r>
    </w:p>
    <w:p>
      <w:pPr>
        <w:pStyle w:val="ListParagraph"/>
        <w:numPr>
          <w:ilvl w:val="0"/>
          <w:numId w:val="1"/>
        </w:numPr>
        <w:spacing w:after="80"/>
      </w:pPr>
      <w:r>
        <w:t xml:space="preserve">Operator model. L2/L3 blocking was resolved by a deterministic scripted operator for reproducibility, not live human raters; the completion cost is sensitive to this policy, as the approve-valid-PoC ablation shows.</w:t>
      </w:r>
    </w:p>
    <w:p>
      <w:pPr>
        <w:pStyle w:val="ListParagraph"/>
        <w:numPr>
          <w:ilvl w:val="0"/>
          <w:numId w:val="1"/>
        </w:numPr>
        <w:spacing w:after="80"/>
      </w:pPr>
      <w:r>
        <w:t xml:space="preserve">Provider nondeterminism. LLM API calls are not perfectly reproducible; mitigated by a pinned model, fixed seeds where supported, N-sampling, and a frozen configuration, but not eliminated.</w:t>
      </w:r>
    </w:p>
    <w:p>
      <w:pPr>
        <w:pStyle w:val="Heading1"/>
        <w:spacing w:after="120" w:before="240"/>
      </w:pPr>
      <w:r>
        <w:rPr>
          <w:b/>
          <w:bCs/>
        </w:rPr>
        <w:t xml:space="preserve">8. Conclusion</w:t>
      </w:r>
    </w:p>
    <w:p>
      <w:pPr>
        <w:spacing w:after="120"/>
      </w:pPr>
      <w:r>
        <w:t xml:space="preserve">CADIS is a consequence-aware oversight layer that scores each proposed agent action on uncertainty, track record, and intrinsic risk, and routes it to one of four graduated intervention levels. Developed and integrated into a live penetration-testing agent and tested against isolated vulnerable Docker targets and AutoPenBench tasks across three LLMs, CADIS demonstrably works as a risk gate: it contained every high-risk action at near-perfect precision, far exceeded a budget-matched random policy at equal cost, and matched always-on oversight's coverage at less than half the human effort. The remaining question — when that containment is net-beneficial — is a property of the deployment, not of the mechanism.</w:t>
      </w:r>
    </w:p>
    <w:p>
      <w:pPr>
        <w:pStyle w:val="Heading1"/>
        <w:spacing w:after="120" w:before="240"/>
      </w:pPr>
      <w:r>
        <w:rPr>
          <w:b/>
          <w:bCs/>
        </w:rPr>
        <w:t xml:space="preserve">References</w:t>
      </w:r>
    </w:p>
    <w:p>
      <w:pPr>
        <w:spacing w:after="80"/>
      </w:pPr>
      <w:r>
        <w:rPr>
          <w:sz w:val="20"/>
          <w:szCs w:val="20"/>
        </w:rPr>
        <w:t xml:space="preserve">[1] Amodei, D., Olah, C., Steinhardt, J., Christiano, P., Schulman, J., Mané, D. (2016). Concrete Problems in AI Safety. arXiv:1606.06565.</w:t>
      </w:r>
    </w:p>
    <w:p>
      <w:pPr>
        <w:spacing w:after="80"/>
      </w:pPr>
      <w:r>
        <w:rPr>
          <w:sz w:val="20"/>
          <w:szCs w:val="20"/>
        </w:rPr>
        <w:t xml:space="preserve">[2] Deng, G., Liu, Y., Mayoral-Vilches, V., et al. (2024). PentestGPT: An LLM-empowered Automatic Penetration Testing Tool. USENIX Security. arXiv:2308.06782.</w:t>
      </w:r>
    </w:p>
    <w:p>
      <w:pPr>
        <w:spacing w:after="80"/>
      </w:pPr>
      <w:r>
        <w:rPr>
          <w:sz w:val="20"/>
          <w:szCs w:val="20"/>
        </w:rPr>
        <w:t xml:space="preserve">[3] Gioacchini, L., et al. (2024). AutoPenBench: Benchmarking Generative Agents for Penetration Testing. arXiv:2410.03225.</w:t>
      </w:r>
    </w:p>
    <w:p>
      <w:pPr>
        <w:spacing w:after="80"/>
      </w:pPr>
      <w:r>
        <w:rPr>
          <w:sz w:val="20"/>
          <w:szCs w:val="20"/>
        </w:rPr>
        <w:t xml:space="preserve">[4] Guo, C., Pleiss, G., Sun, Y., Weinberger, K. Q. (2017). On Calibration of Modern Neural Networks. ICML. arXiv:1706.04599.</w:t>
      </w:r>
    </w:p>
    <w:p>
      <w:pPr>
        <w:spacing w:after="80"/>
      </w:pPr>
      <w:r>
        <w:rPr>
          <w:sz w:val="20"/>
          <w:szCs w:val="20"/>
        </w:rPr>
        <w:t xml:space="preserve">[5] Happe, A., Cito, J. (2023). Getting pwn'd by AI: Penetration Testing with Large Language Models. ESEC/FSE. arXiv:2308.00121.</w:t>
      </w:r>
    </w:p>
    <w:p>
      <w:pPr>
        <w:spacing w:after="80"/>
      </w:pPr>
      <w:r>
        <w:rPr>
          <w:sz w:val="20"/>
          <w:szCs w:val="20"/>
        </w:rPr>
        <w:t xml:space="preserve">[6] Kadavath, S., Conerly, T., Askell, A., et al. (2022). Language Models (Mostly) Know What They Know. arXiv:2207.05221.</w:t>
      </w:r>
    </w:p>
    <w:p>
      <w:pPr>
        <w:spacing w:after="80"/>
      </w:pPr>
      <w:r>
        <w:rPr>
          <w:sz w:val="20"/>
          <w:szCs w:val="20"/>
        </w:rPr>
        <w:t xml:space="preserve">[7] Strom, B. E., Applebaum, A., Miller, D. P., Nickels, K. C., Pennington, A. G., Thomas, C. B. (2018). MITRE ATT&amp;CK: Design and Philosophy. The MITRE Corporation.</w:t>
      </w:r>
    </w:p>
    <w:p>
      <w:pPr>
        <w:spacing w:after="80"/>
      </w:pPr>
      <w:r>
        <w:rPr>
          <w:sz w:val="20"/>
          <w:szCs w:val="20"/>
        </w:rPr>
        <w:t xml:space="preserve">[8] Wang, X., Wei, J., Schuurmans, D., et al. (2023). Self-Consistency Improves Chain of Thought Reasoning in Language Models. ICLR. arXiv:2203.11171.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2026-09-26T16:38:27.531Z</dcterms:created>
  <dcterms:modified xsi:type="dcterms:W3CDTF">2026-09-26T16:38:27.532Z</dcterms:modified>
</cp:coreProperties>
</file>

<file path=docProps/custom.xml><?xml version="1.0" encoding="utf-8"?>
<Properties xmlns="http://schemas.openxmlformats.org/officeDocument/2006/custom-properties" xmlns:vt="http://schemas.openxmlformats.org/officeDocument/2006/docPropsVTypes"/>
</file>