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2 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курсу «Программное обеспечение цифрового проектирования»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«Структурное описание цифровых устройств на языке VHDL. Работа с TestBench»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Необходимое программное обеспечение: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Xilinx ISE design suite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Составить структурное vhdl-описание мультиплексора с двумя входами (a, b), селектирующим сигналом (s) и выходом (z),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соответствующее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структурной схеме (см. Рис. 1):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761522" cy="1600618"/>
            <wp:effectExtent b="0" l="0" r="0" t="0"/>
            <wp:docPr descr="H:\ПОЦП\Info\LAB\LAB03\Files_03\mux21.png" id="23" name="image11.png"/>
            <a:graphic>
              <a:graphicData uri="http://schemas.openxmlformats.org/drawingml/2006/picture">
                <pic:pic>
                  <pic:nvPicPr>
                    <pic:cNvPr descr="H:\ПОЦП\Info\LAB\LAB03\Files_03\mux21.png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1522" cy="1600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 1. Структурная схема мультиплексора 2x1.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Составить структурное vhdl-описание мультиплексора с четырьмя входами (a, b, a1, b1), селектируюшим сигналом (s) и двумя выходами (z, z1), соответствующее структурной схеме (см. рис. 2). Причем мультиплексор должен состоять из компонентов, описанных в пункте 1.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807633" cy="1642517"/>
            <wp:effectExtent b="0" l="0" r="0" t="0"/>
            <wp:docPr descr="H:\ПОЦП\Info\LAB\LAB03\Files_03\mux42.png" id="25" name="image4.png"/>
            <a:graphic>
              <a:graphicData uri="http://schemas.openxmlformats.org/drawingml/2006/picture">
                <pic:pic>
                  <pic:nvPicPr>
                    <pic:cNvPr descr="H:\ПОЦП\Info\LAB\LAB03\Files_03\mux42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7633" cy="1642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 2. Структурная схема мультиплексора 4x2.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необходимо составить структурное и поведенческое описание цифрового устройства (на выбор) из приведенных ниже: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1:</w:t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0" distT="0" distL="0" distR="0">
            <wp:extent cx="5485715" cy="1552381"/>
            <wp:effectExtent b="0" l="0" r="0" t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715" cy="1552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2:</w:t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4199958" cy="1324602"/>
            <wp:effectExtent b="0" l="0" r="0" t="0"/>
            <wp:docPr id="2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9958" cy="1324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3: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4201923" cy="1445148"/>
            <wp:effectExtent b="0" l="0" r="0" t="0"/>
            <wp:docPr id="2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923" cy="1445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4</w:t>
      </w:r>
    </w:p>
    <w:p w:rsidR="00000000" w:rsidDel="00000000" w:rsidP="00000000" w:rsidRDefault="00000000" w:rsidRPr="00000000" w14:paraId="00000017">
      <w:pPr>
        <w:spacing w:after="0" w:lineRule="auto"/>
        <w:ind w:left="3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5210459" cy="1608785"/>
            <wp:effectExtent b="0" l="0" r="0" t="0"/>
            <wp:docPr id="2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459" cy="1608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5</w:t>
      </w:r>
    </w:p>
    <w:p w:rsidR="00000000" w:rsidDel="00000000" w:rsidP="00000000" w:rsidRDefault="00000000" w:rsidRPr="00000000" w14:paraId="00000019">
      <w:pPr>
        <w:ind w:left="3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4946311" cy="1590642"/>
            <wp:effectExtent b="0" l="0" r="0" t="0"/>
            <wp:docPr id="2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6311" cy="1590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041270" cy="1671850"/>
            <wp:effectExtent b="0" l="0" r="0" t="0"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1270" cy="16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112169" cy="976142"/>
            <wp:effectExtent b="0" l="0" r="0" t="0"/>
            <wp:docPr id="3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2169" cy="976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135668" cy="1042205"/>
            <wp:effectExtent b="0" l="0" r="0" t="0"/>
            <wp:docPr id="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5668" cy="1042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9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874990" cy="1005011"/>
            <wp:effectExtent b="0" l="0" r="0" t="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4990" cy="1005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10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10181" cy="1433534"/>
            <wp:effectExtent b="0" l="0" r="0" t="0"/>
            <wp:docPr id="3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0181" cy="1433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11</w:t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2625592" cy="1540965"/>
            <wp:effectExtent b="0" l="0" r="0" t="0"/>
            <wp:docPr id="3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5592" cy="1540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12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15511" cy="1566137"/>
            <wp:effectExtent b="0" l="0" r="0" t="0"/>
            <wp:docPr id="3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5511" cy="1566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13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41539" cy="2027263"/>
            <wp:effectExtent b="0" l="0" r="0" t="0"/>
            <wp:docPr id="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539" cy="202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14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809524" cy="1933663"/>
            <wp:effectExtent b="0" l="0" r="0" t="0"/>
            <wp:docPr id="3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331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9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15</w:t>
      </w:r>
    </w:p>
    <w:p w:rsidR="00000000" w:rsidDel="00000000" w:rsidP="00000000" w:rsidRDefault="00000000" w:rsidRPr="00000000" w14:paraId="0000002D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3619048" cy="1847619"/>
            <wp:effectExtent b="0" l="0" r="0" t="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847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 произвести функциональное моделирование как поведенческого, так и структурного vhdl-описания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Мультиплексора и комбинационного устройства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 балла).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 «а» и демультиплексора 1х4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 баллов).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 «b» и элемента AND5. В структурном описании элемента AND5 использовать оператор «generate»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 баллов).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 «c» и двухразрядного сумматора с переносом (каждый одноразрядный сумматор описывается отдельным структурным описанием)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 баллов)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каждого описания необходимо написать Test Bench, который имеет следующую структуру: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2386040"/>
            <wp:effectExtent b="0" l="0" r="0" t="0"/>
            <wp:docPr descr="C:\Documents and Settings\szalivako.VMIP\Desktop\TB_Structure.jpg" id="40" name="image7.jpg"/>
            <a:graphic>
              <a:graphicData uri="http://schemas.openxmlformats.org/drawingml/2006/picture">
                <pic:pic>
                  <pic:nvPicPr>
                    <pic:cNvPr descr="C:\Documents and Settings\szalivako.VMIP\Desktop\TB_Structure.jpg" id="0" name="image7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 3. Структурная схема тестирования</w:t>
      </w:r>
    </w:p>
    <w:p w:rsidR="00000000" w:rsidDel="00000000" w:rsidP="00000000" w:rsidRDefault="00000000" w:rsidRPr="00000000" w14:paraId="00000038">
      <w:pPr>
        <w:spacing w:after="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Bench должен обеспечивать тестирование структурного и поведенческого описания устройства на всех 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наборах входных значений (n – количество входных сигналов).</w:t>
      </w:r>
    </w:p>
    <w:p w:rsidR="00000000" w:rsidDel="00000000" w:rsidP="00000000" w:rsidRDefault="00000000" w:rsidRPr="00000000" w14:paraId="00000039">
      <w:pPr>
        <w:spacing w:after="0" w:lineRule="auto"/>
        <w:ind w:firstLine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Контрольный вопросы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 и характеристика TestBench.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RTL и технологический синтез.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Процессы в VHDL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Использование LUT в ПЛИС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Полусумматор и сумматор. Реализация и особенности применения.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Виды моделирования при разработке цифровых устройств.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Предназначение усиливающих буферов.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1800" w:hanging="720"/>
      </w:pPr>
      <w:rPr/>
    </w:lvl>
    <w:lvl w:ilvl="4">
      <w:start w:val="1"/>
      <w:numFmt w:val="decimal"/>
      <w:lvlText w:val="%1.%2.%3.%4.%5."/>
      <w:lvlJc w:val="left"/>
      <w:pPr>
        <w:ind w:left="2520" w:hanging="1080"/>
      </w:pPr>
      <w:rPr/>
    </w:lvl>
    <w:lvl w:ilvl="5">
      <w:start w:val="1"/>
      <w:numFmt w:val="decimal"/>
      <w:lvlText w:val="%1.%2.%3.%4.%5.%6."/>
      <w:lvlJc w:val="left"/>
      <w:pPr>
        <w:ind w:left="2880" w:hanging="1080"/>
      </w:pPr>
      <w:rPr/>
    </w:lvl>
    <w:lvl w:ilvl="6">
      <w:start w:val="1"/>
      <w:numFmt w:val="decimal"/>
      <w:lvlText w:val="%1.%2.%3.%4.%5.%6.%7."/>
      <w:lvlJc w:val="left"/>
      <w:pPr>
        <w:ind w:left="3600" w:hanging="1440"/>
      </w:pPr>
      <w:rPr/>
    </w:lvl>
    <w:lvl w:ilvl="7">
      <w:start w:val="1"/>
      <w:numFmt w:val="decimal"/>
      <w:lvlText w:val="%1.%2.%3.%4.%5.%6.%7.%8."/>
      <w:lvlJc w:val="left"/>
      <w:pPr>
        <w:ind w:left="3960" w:hanging="1440"/>
      </w:pPr>
      <w:rPr/>
    </w:lvl>
    <w:lvl w:ilvl="8">
      <w:start w:val="1"/>
      <w:numFmt w:val="decimal"/>
      <w:lvlText w:val="%1.%2.%3.%4.%5.%6.%7.%8.%9."/>
      <w:lvlJc w:val="left"/>
      <w:pPr>
        <w:ind w:left="468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75C7F"/>
    <w:pPr>
      <w:ind w:left="720"/>
      <w:contextualSpacing w:val="1"/>
    </w:pPr>
  </w:style>
  <w:style w:type="paragraph" w:styleId="a4">
    <w:name w:val="Balloon Text"/>
    <w:basedOn w:val="a"/>
    <w:link w:val="a5"/>
    <w:uiPriority w:val="99"/>
    <w:semiHidden w:val="1"/>
    <w:unhideWhenUsed w:val="1"/>
    <w:rsid w:val="00A1749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A1749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3.png"/><Relationship Id="rId22" Type="http://schemas.openxmlformats.org/officeDocument/2006/relationships/image" Target="media/image6.png"/><Relationship Id="rId10" Type="http://schemas.openxmlformats.org/officeDocument/2006/relationships/image" Target="media/image16.png"/><Relationship Id="rId21" Type="http://schemas.openxmlformats.org/officeDocument/2006/relationships/image" Target="media/image2.png"/><Relationship Id="rId13" Type="http://schemas.openxmlformats.org/officeDocument/2006/relationships/image" Target="media/image8.png"/><Relationship Id="rId24" Type="http://schemas.openxmlformats.org/officeDocument/2006/relationships/image" Target="media/image7.jpg"/><Relationship Id="rId12" Type="http://schemas.openxmlformats.org/officeDocument/2006/relationships/image" Target="media/image17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8.png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marPcaTBmTGLnNHwWJ42i+BxXw==">AMUW2mUJcwkL+kogYnUj0rj3DlDN0vFlcYcQwDPTGVePv5kstlg1I9j/KnQx253/GNEPnadR1AaWtmdC0HxnuyZ/UzJ9r4E4E03ml9NZotVZ/1lsJHHBIRTQqTTkds6pki8F3AgVjCU1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2019-09-13T19:01:00Z</dcterms:created>
  <dc:creator>SZalivako</dc:creator>
</cp:coreProperties>
</file>