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color w:val="1B4F72"/>
          <w:sz w:val="20"/>
          <w:szCs w:val="20"/>
        </w:rPr>
        <w:t xml:space="preserve">BNK부산은행</w:t>
      </w:r>
    </w:p>
    <w:p>
      <w:pPr>
        <w:pStyle w:val="Heading1"/>
        <w:spacing w:after="200"/>
      </w:pPr>
      <w:r>
        <w:rPr>
          <w:rFonts w:ascii="Arial" w:cs="Arial" w:eastAsia="Arial" w:hAnsi="Arial"/>
          <w:b/>
          <w:bCs/>
          <w:color w:val="1B4F72"/>
          <w:sz w:val="36"/>
          <w:szCs w:val="36"/>
        </w:rPr>
        <w:t xml:space="preserve">해양·조선 기업 특화 영업 툴킷</w:t>
      </w:r>
    </w:p>
    <w:p>
      <w:pPr>
        <w:spacing w:after="300"/>
      </w:pPr>
      <w:r>
        <w:rPr>
          <w:rFonts w:ascii="Arial" w:cs="Arial" w:eastAsia="Arial" w:hAnsi="Arial"/>
          <w:i/>
          <w:iCs/>
          <w:color w:val="555555"/>
          <w:sz w:val="24"/>
          <w:szCs w:val="24"/>
        </w:rPr>
        <w:t xml:space="preserve">BNK부산은행 기업금융 차별화 전략</w:t>
      </w:r>
    </w:p>
    <w:p>
      <w:pPr>
        <w:pBdr>
          <w:bottom w:val="single" w:color="1B4F72" w:sz="6" w:space="1"/>
        </w:pBdr>
        <w:spacing w:after="200"/>
      </w:pPr>
    </w:p>
    <w:p>
      <w:pPr>
        <w:pStyle w:val="Heading2"/>
        <w:spacing w:after="120" w:before="240"/>
      </w:pPr>
      <w:r>
        <w:rPr>
          <w:rFonts w:ascii="Arial" w:cs="Arial" w:eastAsia="Arial" w:hAnsi="Arial"/>
          <w:b/>
          <w:bCs/>
          <w:color w:val="1B4F72"/>
          <w:sz w:val="28"/>
          <w:szCs w:val="28"/>
        </w:rPr>
        <w:t xml:space="preserve">1. 2026년 조선·해양 시장 전망 및 기업 유형별 브리핑</w:t>
      </w:r>
    </w:p>
    <w:p>
      <w:pPr>
        <w:spacing w:after="120"/>
      </w:pPr>
      <w:r>
        <w:rPr>
          <w:rFonts w:ascii="Arial" w:cs="Arial" w:eastAsia="Arial" w:hAnsi="Arial"/>
          <w:sz w:val="22"/>
          <w:szCs w:val="22"/>
        </w:rPr>
        <w:t xml:space="preserve">부산은행은 대한민국 유일의 지역기반 해양금융 전문은행입니다. 조선해양 산업은 부산 지역의 핵심 산업이며, 2026년은 전기·수소 선박, LNG 선박 등 친환경 선박 시장이 본격화되는 해입니다. 본 툴킷은 조선·해양 기업 3개 유형별로 시장 전망과 금융 솔루션을 제시합니다.</w:t>
      </w:r>
    </w:p>
    <w:p>
      <w:pPr>
        <w:pStyle w:val="Heading3"/>
        <w:spacing w:after="80" w:before="180"/>
      </w:pPr>
      <w:r>
        <w:rPr>
          <w:rFonts w:ascii="Arial" w:cs="Arial" w:eastAsia="Arial" w:hAnsi="Arial"/>
          <w:b/>
          <w:bCs/>
          <w:color w:val="2C3E50"/>
          <w:sz w:val="24"/>
          <w:szCs w:val="24"/>
        </w:rPr>
        <w:t xml:space="preserve">A. 중형 조선소 (매출 500억~3,000억 원)</w:t>
      </w:r>
    </w:p>
    <w:p>
      <w:pPr>
        <w:spacing w:after="120"/>
      </w:pPr>
      <w:r>
        <w:rPr>
          <w:rFonts w:ascii="Arial" w:cs="Arial" w:eastAsia="Arial" w:hAnsi="Arial"/>
          <w:sz w:val="22"/>
          <w:szCs w:val="22"/>
        </w:rPr>
        <w:t xml:space="preserve">30초 시장 전망: "2026년 조선업은 역사적 호황기에 접어들고 있습니다. 글로벌 LNG·LPG 선박 수주가 급증하고 있으며, 한국 조선소들이 시장 점유율을 크게 확대하고 있습니다. 평균 선가는 LNG 운반선 약 150~200억 달러, 컨테이너선 약 30~50억 달러 수준입니다. 중형 조선소들은 소형 특화선과 기자재 공급에서 강한 경쟁력을 보이고 있으며, 2026년은 신규 수주 호황이 지속될 것으로 예상됩니다."</w:t>
      </w:r>
    </w:p>
    <w:p>
      <w:pPr>
        <w:pStyle w:val="Heading3"/>
        <w:spacing w:after="80" w:before="180"/>
      </w:pPr>
      <w:r>
        <w:rPr>
          <w:rFonts w:ascii="Arial" w:cs="Arial" w:eastAsia="Arial" w:hAnsi="Arial"/>
          <w:b/>
          <w:bCs/>
          <w:color w:val="2C3E50"/>
          <w:sz w:val="24"/>
          <w:szCs w:val="24"/>
        </w:rPr>
        <w:t xml:space="preserve">B. 선박 기자재 업체 (매출 30억~200억 원)</w:t>
      </w:r>
    </w:p>
    <w:p>
      <w:pPr>
        <w:spacing w:after="120"/>
      </w:pPr>
      <w:r>
        <w:rPr>
          <w:rFonts w:ascii="Arial" w:cs="Arial" w:eastAsia="Arial" w:hAnsi="Arial"/>
          <w:sz w:val="22"/>
          <w:szCs w:val="22"/>
        </w:rPr>
        <w:t xml:space="preserve">30초 시장 전망: "선박 기자재는 조선업의 호황과 함께 성장하는 연관산업입니다. 친환경 선박(LNG, 수소연료전지)의 기술 고도화로 고부가가치 기자재의 수요가 급증하고 있습니다. 부산 지역 기자재 업체들은 현대중공업, 삼성중공업, 대우조선 등 대형 조선소와 장기 거래 관계를 가지고 있으며, 2026년 신조선 발주 호황으로 기자재 주문도 함께 급증할 것으로 예상됩니다. 녹산산업단지 내 조선기자재 기업 약 640개가 연간 40억 달러 이상을 수출하고 있습니다."</w:t>
      </w:r>
    </w:p>
    <w:p>
      <w:pPr>
        <w:pStyle w:val="Heading3"/>
        <w:spacing w:after="80" w:before="180"/>
      </w:pPr>
      <w:r>
        <w:rPr>
          <w:rFonts w:ascii="Arial" w:cs="Arial" w:eastAsia="Arial" w:hAnsi="Arial"/>
          <w:b/>
          <w:bCs/>
          <w:color w:val="2C3E50"/>
          <w:sz w:val="24"/>
          <w:szCs w:val="24"/>
        </w:rPr>
        <w:t xml:space="preserve">C. 해운·물류사 (매출 50억~500억 원)</w:t>
      </w:r>
    </w:p>
    <w:p>
      <w:pPr>
        <w:spacing w:after="120"/>
      </w:pPr>
      <w:r>
        <w:rPr>
          <w:rFonts w:ascii="Arial" w:cs="Arial" w:eastAsia="Arial" w:hAnsi="Arial"/>
          <w:sz w:val="22"/>
          <w:szCs w:val="22"/>
        </w:rPr>
        <w:t xml:space="preserve">30초 시장 전망: "2026년 글로벌 해운은 친환경 규제(IMO2030, IMO2050)로 인해 저탄소·무탄소 선박 도입이 급속화되고 있습니다. 선박 건조비 상승과 친환경 연료(LNG, 메탄올, 수소)의 공급 체인이 구축되고 있으며, 글로벌 무역 회복으로 해운 수요도 증가하고 있습니다. 부산항 물동량은 2026년 약 2,400만 TEU로 예상되며, 부산 지역 해운·물류사들의 수익성이 크게 개선될 것으로 전망됩니다."</w:t>
      </w:r>
    </w:p>
    <w:p>
      <w:pPr>
        <w:pStyle w:val="Heading2"/>
        <w:spacing w:after="120" w:before="240"/>
      </w:pPr>
      <w:r>
        <w:rPr>
          <w:rFonts w:ascii="Arial" w:cs="Arial" w:eastAsia="Arial" w:hAnsi="Arial"/>
          <w:b/>
          <w:bCs/>
          <w:color w:val="1B4F72"/>
          <w:sz w:val="28"/>
          <w:szCs w:val="28"/>
        </w:rPr>
        <w:t xml:space="preserve">2. 기업 유형별 핵심 금융 니즈 Top 5</w:t>
      </w:r>
    </w:p>
    <w:p>
      <w:pPr>
        <w:pStyle w:val="Heading3"/>
        <w:spacing w:after="80" w:before="180"/>
      </w:pPr>
      <w:r>
        <w:rPr>
          <w:rFonts w:ascii="Arial" w:cs="Arial" w:eastAsia="Arial" w:hAnsi="Arial"/>
          <w:b/>
          <w:bCs/>
          <w:color w:val="2C3E50"/>
          <w:sz w:val="24"/>
          <w:szCs w:val="24"/>
        </w:rPr>
        <w:t xml:space="preserve">중형 조선소 (매출 500억~3,000억)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순위</w:t>
            </w:r>
          </w:p>
        </w:tc>
        <w:tc>
          <w:tcPr>
            <w:tcW w:type="dxa" w:w="23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금융 니즈</w:t>
            </w:r>
          </w:p>
        </w:tc>
        <w:tc>
          <w:tcPr>
            <w:tcW w:type="dxa" w:w="23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규모</w:t>
            </w:r>
          </w:p>
        </w:tc>
        <w:tc>
          <w:tcPr>
            <w:tcW w:type="dxa" w:w="23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부산은행 솔루션</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선체공사금융(조선소 입금금 선지급)</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수주액의 30~40%, 약 500~1,000억</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선금융(Pre-delivery Financing) + RG 발급</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기자재 선금융(기자재사에 대한 선지급)</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수주액의 15~20%, 약 250~600억</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기자재금융 + 무보증 한도</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운전자금(노동비, 외주비 등)</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월 매출의 20~30%, 약 100~150억</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단기 운전자금대출 + 급여이체 연계</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설비투자자금(신기술 설비 도입)</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연간 500~1,000억, 매출 1~3%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정책기금 연계 + 시설자금</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선주금융(선박 구매 고객 자금)</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고객 선박 구매액, 약 50~200억</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선주금융(배송금융) + 해외 금융기관 연계</w:t>
            </w:r>
          </w:p>
        </w:tc>
      </w:tr>
    </w:tbl>
    <w:p>
      <w:pPr>
        <w:spacing w:after="120"/>
      </w:pPr>
    </w:p>
    <w:p>
      <w:pPr>
        <w:pStyle w:val="Heading3"/>
        <w:spacing w:after="80" w:before="180"/>
      </w:pPr>
      <w:r>
        <w:rPr>
          <w:rFonts w:ascii="Arial" w:cs="Arial" w:eastAsia="Arial" w:hAnsi="Arial"/>
          <w:b/>
          <w:bCs/>
          <w:color w:val="2C3E50"/>
          <w:sz w:val="24"/>
          <w:szCs w:val="24"/>
        </w:rPr>
        <w:t xml:space="preserve">선박 기자재 업체 (매출 30억~200억)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순위</w:t>
            </w:r>
          </w:p>
        </w:tc>
        <w:tc>
          <w:tcPr>
            <w:tcW w:type="dxa" w:w="23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금융 니즈</w:t>
            </w:r>
          </w:p>
        </w:tc>
        <w:tc>
          <w:tcPr>
            <w:tcW w:type="dxa" w:w="23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규모</w:t>
            </w:r>
          </w:p>
        </w:tc>
        <w:tc>
          <w:tcPr>
            <w:tcW w:type="dxa" w:w="23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부산은행 솔루션</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수출금융(L/C, 추심, 수출대금)</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매출의 60~80%, 약 30~150억</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수출금융 + 수출보험(K-Sure)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운전자금(원재료 구매)</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매출의 30~40%, 약 15~80억</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운전자금대출 + 계약금보증</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계약금 보증(선금 담보)</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수주액의 10~20%, 약 10~40억</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계약금담보보증(BG) + 선금융</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기술개발자금(친환경 기술)</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연간 3~5억, 매출의 1~3%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정책자금 + R&amp;D 지원금</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설비투자자금(가공기, 검사 장비)</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연간 5~10억, 매출의 2~5%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정책기금 + 시설자금</w:t>
            </w:r>
          </w:p>
        </w:tc>
      </w:tr>
    </w:tbl>
    <w:p>
      <w:pPr>
        <w:spacing w:after="120"/>
      </w:pPr>
    </w:p>
    <w:p>
      <w:pPr>
        <w:pStyle w:val="Heading3"/>
        <w:spacing w:after="80" w:before="180"/>
      </w:pPr>
      <w:r>
        <w:rPr>
          <w:rFonts w:ascii="Arial" w:cs="Arial" w:eastAsia="Arial" w:hAnsi="Arial"/>
          <w:b/>
          <w:bCs/>
          <w:color w:val="2C3E50"/>
          <w:sz w:val="24"/>
          <w:szCs w:val="24"/>
        </w:rPr>
        <w:t xml:space="preserve">해운·물류사 (매출 50억~500억)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순위</w:t>
            </w:r>
          </w:p>
        </w:tc>
        <w:tc>
          <w:tcPr>
            <w:tcW w:type="dxa" w:w="23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금융 니즈</w:t>
            </w:r>
          </w:p>
        </w:tc>
        <w:tc>
          <w:tcPr>
            <w:tcW w:type="dxa" w:w="23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규모</w:t>
            </w:r>
          </w:p>
        </w:tc>
        <w:tc>
          <w:tcPr>
            <w:tcW w:type="dxa" w:w="23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부산은행 솔루션</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선박구매금융(선박 구매 자금)</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선박가 100~200억, 5년 한도</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선주금융 + 해외은행 SYNLOAN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운임선금화(선적 대금 선지급)</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월 운임의 50~70%, 약 10~30억</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무역금융(수출환어, 추심)</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운전자금(연료비, 용선비)</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월 지출의 40~60%, 약 5~20억</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운전자금대출 + 당좌예금</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연료비 선금(LNG, 메탄올)</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월 소비량 선금, 약 2~10억</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선금융 + 환율헤징</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항만시설투자자금(컨테이너장비, 창고)</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연간 5~30억, 매출 1~10%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정책기금 + 시설자금</w:t>
            </w:r>
          </w:p>
        </w:tc>
      </w:tr>
    </w:tbl>
    <w:p>
      <w:pPr>
        <w:spacing w:after="120"/>
      </w:pPr>
    </w:p>
    <w:p>
      <w:pPr>
        <w:pStyle w:val="Heading2"/>
        <w:spacing w:after="120" w:before="240"/>
      </w:pPr>
      <w:r>
        <w:rPr>
          <w:rFonts w:ascii="Arial" w:cs="Arial" w:eastAsia="Arial" w:hAnsi="Arial"/>
          <w:b/>
          <w:bCs/>
          <w:color w:val="1B4F72"/>
          <w:sz w:val="28"/>
          <w:szCs w:val="28"/>
        </w:rPr>
        <w:t xml:space="preserve">3. 부산은행의 해양금융 차별화 솔루션</w:t>
      </w:r>
    </w:p>
    <w:p>
      <w:pPr>
        <w:spacing w:after="120"/>
      </w:pPr>
      <w:r>
        <w:rPr>
          <w:rFonts w:ascii="Arial" w:cs="Arial" w:eastAsia="Arial" w:hAnsi="Arial"/>
          <w:sz w:val="22"/>
          <w:szCs w:val="22"/>
        </w:rPr>
        <w:t xml:space="preserve">부산은행은 지역 기반 은행으로서, 국내 5대 시중은행이 제공하지 못하는 맞춤형 해양금융 솔루션을 제공합니다. 특히 RG(보증장) 발급 역량, 무보증 금융, 해양금융부의 전문인력 등이 부산은행의 강점입니다.</w:t>
      </w:r>
    </w:p>
    <w:p>
      <w:pPr>
        <w:pStyle w:val="Heading3"/>
        <w:spacing w:after="80" w:before="180"/>
      </w:pPr>
      <w:r>
        <w:rPr>
          <w:rFonts w:ascii="Arial" w:cs="Arial" w:eastAsia="Arial" w:hAnsi="Arial"/>
          <w:b/>
          <w:bCs/>
          <w:color w:val="2C3E50"/>
          <w:sz w:val="24"/>
          <w:szCs w:val="24"/>
        </w:rPr>
        <w:t xml:space="preserve">부산은행의 5가지 강점</w:t>
      </w:r>
    </w:p>
    <w:p>
      <w:pPr>
        <w:spacing w:after="120"/>
      </w:pPr>
      <w:r>
        <w:rPr>
          <w:rFonts w:ascii="Arial" w:cs="Arial" w:eastAsia="Arial" w:hAnsi="Arial"/>
          <w:sz w:val="22"/>
          <w:szCs w:val="22"/>
        </w:rPr>
        <w:t xml:space="preserve">1. RG(Revolving Guarantee) 발급 역량: 조선소와 기자재사 간의 연쇄 거래에서 RG 활용, 선금 담보로 기능하여 은행 신용도 극대화, 시중은행은 거의 취급하지 않는 상품
2. 무보증 금융 확대: 지역 기반 은행으로서 기업 신용도 우대, 거래처 신뢰도 기반의 신용평가, 신용대출 한도 확대(일반 은행 대비 2~3배), 빠른 심사 및 실행(3~5일)
3. 해양금융부 전문인력: 선박금융, 해운금융, 기자재금융 전문 팀, 조선·해양 산업 이해도 높음, 맞춤형 상품 설계 능력, 24시간 상담 체계
4. 정책금융 연계 역량: KOFA(한국수출입금융공사) 협력, 중소기업진흥공단 정책자금 연계, 정부 지원사업 정보 제공, 이차보전 활용으로 기업 이자 부담 경감
5. 글로벌 네트워크: 해외 은행과의 선주금융 연계, 국제무역금융 협력, 외화대출 및 환율헤징 상품, 선박 국제 거래에 맞는 금융 지원</w:t>
      </w:r>
    </w:p>
    <w:p>
      <w:pPr>
        <w:pStyle w:val="Heading2"/>
        <w:spacing w:after="120" w:before="240"/>
      </w:pPr>
      <w:r>
        <w:rPr>
          <w:rFonts w:ascii="Arial" w:cs="Arial" w:eastAsia="Arial" w:hAnsi="Arial"/>
          <w:b/>
          <w:bCs/>
          <w:color w:val="1B4F72"/>
          <w:sz w:val="28"/>
          <w:szCs w:val="28"/>
        </w:rPr>
        <w:t xml:space="preserve">4. 시중은행 대비 부산은행의 경쟁 우위</w:t>
      </w:r>
    </w:p>
    <w:p>
      <w:pPr>
        <w:spacing w:after="120"/>
      </w:pPr>
      <w:r>
        <w:rPr>
          <w:rFonts w:ascii="Arial" w:cs="Arial" w:eastAsia="Arial" w:hAnsi="Arial"/>
          <w:sz w:val="22"/>
          <w:szCs w:val="22"/>
        </w:rPr>
        <w:t xml:space="preserve">Point 1: 심사 속도와 의사결정 권한. 시중은행은 서울 본점 심사로 2~3주 소요, 부산은행은 3~5일 소요 및 지점장 즉시 의사결정 가능합니다. 어필 멘트: "우리 부산은행은 해양금융 전문 팀이 부산에 있어서, 의사결정 속도가 빠릅니다. 긴급 자금이 필요할 때 24시간 이내 대응 가능합니다."
Point 2: 신용평가와 금리 우대. 시중은행은 신용평가회사 점수만 기반, 부산은행은 거래처 신뢰도와 기업 실적 기반의 유연한 평가로 0.5~1.5% 추가 할인 가능합니다. 어필 멘트: "우리는 신용평가회사 점수만 보는 게 아니라, 고객님의 실제 거래처, 수주 현황, 시장에서의 평판을 종합평가합니다. 더 좋은 금리를 드릴 수 있습니다."
Point 3: 지역 밀착형 서비스와 관계 관리. 시중은행은 담당자 자주 교체, 부산은행은 지점장과 담당 매니저가 정기 방문으로 장기 파트너십 구축합니다. 어필 멘트: "우리 지점장이 월 1회 이상 방문하며, 단순 대출 은행이 아니라 사업 파트너로서 함께 성장하려 합니다. 새로운 프로젝트가 생기면 먼저 알려주세요. 맞춤형 금융 솔루션을 제시하겠습니다."</w:t>
      </w:r>
    </w:p>
    <w:p>
      <w:pPr>
        <w:pStyle w:val="Heading2"/>
        <w:spacing w:after="120" w:before="240"/>
      </w:pPr>
      <w:r>
        <w:rPr>
          <w:rFonts w:ascii="Arial" w:cs="Arial" w:eastAsia="Arial" w:hAnsi="Arial"/>
          <w:b/>
          <w:bCs/>
          <w:color w:val="1B4F72"/>
          <w:sz w:val="28"/>
          <w:szCs w:val="28"/>
        </w:rPr>
        <w:t xml:space="preserve">5. 첫 미팅 30분 상담 시나리오</w:t>
      </w:r>
    </w:p>
    <w:p>
      <w:pPr>
        <w:spacing w:after="120"/>
      </w:pPr>
      <w:r>
        <w:rPr>
          <w:rFonts w:ascii="Arial" w:cs="Arial" w:eastAsia="Arial" w:hAnsi="Arial"/>
          <w:sz w:val="22"/>
          <w:szCs w:val="22"/>
        </w:rPr>
        <w:t xml:space="preserve">0~5분: 라포 형성 및 시장 동향 공유. 지점장이 시장 전망을 30초로 제시하고 기업의 시장 위치를 설명합니다.
5~10분: 기업 현황 및 니즈 파악 (Open Question). 기업의 사업 상황, 거래처, 최근 수주 현황을 질문합니다. Key Point: 충분히 경청하고 기업의 실제 니즈를 파악하는 단계
10~20분: 맞춤 솔루션 제안. 기업의 구체적 상황에 맞춘 솔루션(선금융, RG, 수출금융 등)을 제시합니다. Key Point: "당신 회사의 구체적 상황에 맞춘" 솔루션
20~25분: 부산은행의 차별화 포인트 강조. 속도(3~5일), RG 발급, 지속적 관계관리의 3가지 강점을 명확히 설명합니다.
25~30분: 다음 단계 합의. 정식 상담 날짜 확정, 준비물 명시, 담당자 지정으로 구체적인 다음 스텝을 확정합니다.</w:t>
      </w:r>
    </w:p>
    <w:p>
      <w:pPr>
        <w:pStyle w:val="Heading2"/>
        <w:spacing w:after="120" w:before="240"/>
      </w:pPr>
      <w:r>
        <w:rPr>
          <w:rFonts w:ascii="Arial" w:cs="Arial" w:eastAsia="Arial" w:hAnsi="Arial"/>
          <w:b/>
          <w:bCs/>
          <w:color w:val="1B4F72"/>
          <w:sz w:val="28"/>
          <w:szCs w:val="28"/>
        </w:rPr>
        <w:t xml:space="preserve">6. 상담 후 후속 커뮤니케이션 템플릿</w:t>
      </w:r>
    </w:p>
    <w:p>
      <w:pPr>
        <w:spacing w:after="120"/>
      </w:pPr>
      <w:r>
        <w:rPr>
          <w:rFonts w:ascii="Arial" w:cs="Arial" w:eastAsia="Arial" w:hAnsi="Arial"/>
          <w:sz w:val="22"/>
          <w:szCs w:val="22"/>
        </w:rPr>
        <w:t xml:space="preserve">이메일 템플릿 (정식 상담 제안): 제목에서 맞춤형 솔루션 제안을 강조하고, 주요 내용(선금융, RG, 운전자금, 정책기금)을 정리하여 정식 상담 일정을 제안합니다. 구체적인 날짜, 장소, 준비 사항을 명시합니다.
KaKaoTalk / SMS (5일 후 Follow-up): "안녕하세요. 지난 번 뵌 후 몸도 무겁지 않으신가요? 새로 나온 프로젝트는 있으신가요? 자금이 필요하신 부분이 생기시면 언제든 연락 주세요. 2월 18일 정식 상담 날짜 확정이 되셨으면 좋겠습니다."</w:t>
      </w:r>
    </w:p>
    <w:p>
      <w:pPr>
        <w:pStyle w:val="Heading2"/>
        <w:spacing w:after="120" w:before="240"/>
      </w:pPr>
      <w:r>
        <w:rPr>
          <w:rFonts w:ascii="Arial" w:cs="Arial" w:eastAsia="Arial" w:hAnsi="Arial"/>
          <w:b/>
          <w:bCs/>
          <w:color w:val="1B4F72"/>
          <w:sz w:val="28"/>
          <w:szCs w:val="28"/>
        </w:rPr>
        <w:t xml:space="preserve">7. 기업 유형별 성공 사례</w:t>
      </w:r>
    </w:p>
    <w:p>
      <w:pPr>
        <w:spacing w:after="120"/>
      </w:pPr>
      <w:r>
        <w:rPr>
          <w:rFonts w:ascii="Arial" w:cs="Arial" w:eastAsia="Arial" w:hAnsi="Arial"/>
          <w:sz w:val="22"/>
          <w:szCs w:val="22"/>
        </w:rPr>
        <w:t xml:space="preserve">사례 1 - 중형 조선소 (주)부산해양: 2025년 초 3,000TEU 컨테이너선 2척 수주 후 80억 원 선금이 필요했지만, 기존 은행은 2주 소요라고 함. 부산은행은 3일 내에 승인하고 4일째 입금. 결과: 부산은행을 주거래은행으로 지정, 월 100억 원대 거래 확대, RG 활용으로 기자재 협력사 관계 개선. 교훈: 속도가 경쟁력이다.
사례 2 - 기자재사 (주)해양기술: 200억 원 미국 수출 계약 시 3개월 이상 대금 회수 지연으로 원재료 구매 불가. 부산은행의 수출금융(수출환어)으로 선적 후 90% 선지급, K-Sure 수출보험 함께 제공. 결과: 현금흐름 개선으로 생산 효율 20% 증가, 월 20~30억 원 수출 물량 무리 없이 처리. 교훈: 무역금융이 기업의 성장을 가능하게 한다.
사례 3 - 해운·물류사 (주)부산항운: 150억 원 규모 선박 구매 시 시중은행은 LTV 50%, 금리 6.5% 제시. 부산은행의 선주금융은 미래 용선료 수익 담보로 LTV 70%, 금리 4.8% 제시. 결과: 부산은행에서 105억 원 조달, 자금 조달 비용 연 1억 원 이상 절감, 신선박 연간 15억 원 용선료 수익 창출. 교훈: 해양금융은 기업의 성장 사이클을 이해하는 은행만이 제공할 수 있다.</w:t>
      </w:r>
    </w:p>
    <w:p>
      <w:r>
        <w:br w:type="page"/>
      </w:r>
    </w:p>
    <w:p>
      <w:pPr>
        <w:pStyle w:val="Heading2"/>
        <w:spacing w:after="120" w:before="240"/>
      </w:pPr>
      <w:r>
        <w:rPr>
          <w:rFonts w:ascii="Arial" w:cs="Arial" w:eastAsia="Arial" w:hAnsi="Arial"/>
          <w:b/>
          <w:bCs/>
          <w:color w:val="1B4F72"/>
          <w:sz w:val="28"/>
          <w:szCs w:val="28"/>
        </w:rPr>
        <w:t xml:space="preserve">지점장 실행 체크리스트</w:t>
      </w:r>
    </w:p>
    <w:p>
      <w:pPr>
        <w:spacing w:after="80"/>
        <w:ind w:left="360"/>
      </w:pPr>
      <w:r>
        <w:rPr>
          <w:rFonts w:ascii="Arial" w:cs="Arial" w:eastAsia="Arial" w:hAnsi="Arial"/>
          <w:sz w:val="22"/>
          <w:szCs w:val="22"/>
        </w:rPr>
        <w:t xml:space="preserve">☐ 업체별 2026년 시장 전망 정리 완료</w:t>
      </w:r>
    </w:p>
    <w:p>
      <w:pPr>
        <w:spacing w:after="80"/>
        <w:ind w:left="360"/>
      </w:pPr>
      <w:r>
        <w:rPr>
          <w:rFonts w:ascii="Arial" w:cs="Arial" w:eastAsia="Arial" w:hAnsi="Arial"/>
          <w:sz w:val="22"/>
          <w:szCs w:val="22"/>
        </w:rPr>
        <w:t xml:space="preserve">☐ 기업 유형별 핵심 금융 니즈 파악 및 숙지</w:t>
      </w:r>
    </w:p>
    <w:p>
      <w:pPr>
        <w:spacing w:after="80"/>
        <w:ind w:left="360"/>
      </w:pPr>
      <w:r>
        <w:rPr>
          <w:rFonts w:ascii="Arial" w:cs="Arial" w:eastAsia="Arial" w:hAnsi="Arial"/>
          <w:sz w:val="22"/>
          <w:szCs w:val="22"/>
        </w:rPr>
        <w:t xml:space="preserve">☐ 부산은행의 차별화 포인트 3가지(속도, RG, 관계) 암기</w:t>
      </w:r>
    </w:p>
    <w:p>
      <w:pPr>
        <w:spacing w:after="80"/>
        <w:ind w:left="360"/>
      </w:pPr>
      <w:r>
        <w:rPr>
          <w:rFonts w:ascii="Arial" w:cs="Arial" w:eastAsia="Arial" w:hAnsi="Arial"/>
          <w:sz w:val="22"/>
          <w:szCs w:val="22"/>
        </w:rPr>
        <w:t xml:space="preserve">☐ 첫 미팅 30분 시나리오 실제 연습</w:t>
      </w:r>
    </w:p>
    <w:p>
      <w:pPr>
        <w:spacing w:after="80"/>
        <w:ind w:left="360"/>
      </w:pPr>
      <w:r>
        <w:rPr>
          <w:rFonts w:ascii="Arial" w:cs="Arial" w:eastAsia="Arial" w:hAnsi="Arial"/>
          <w:sz w:val="22"/>
          <w:szCs w:val="22"/>
        </w:rPr>
        <w:t xml:space="preserve">☐ 성공 사례 스토리 전부 숙지</w:t>
      </w:r>
    </w:p>
    <w:p>
      <w:pPr>
        <w:spacing w:after="80"/>
        <w:ind w:left="360"/>
      </w:pPr>
      <w:r>
        <w:rPr>
          <w:rFonts w:ascii="Arial" w:cs="Arial" w:eastAsia="Arial" w:hAnsi="Arial"/>
          <w:sz w:val="22"/>
          <w:szCs w:val="22"/>
        </w:rPr>
        <w:t xml:space="preserve">☐ 고객별 맞춤 솔루션 패키지 사전 준비</w:t>
      </w:r>
    </w:p>
    <w:p>
      <w:pPr>
        <w:spacing w:after="80"/>
        <w:ind w:left="360"/>
      </w:pPr>
      <w:r>
        <w:rPr>
          <w:rFonts w:ascii="Arial" w:cs="Arial" w:eastAsia="Arial" w:hAnsi="Arial"/>
          <w:sz w:val="22"/>
          <w:szCs w:val="22"/>
        </w:rPr>
        <w:t xml:space="preserve">☐ 정식 상담 일정 확정 체계 구축</w:t>
      </w:r>
    </w:p>
    <w:p>
      <w:pPr>
        <w:spacing w:after="80"/>
        <w:ind w:left="360"/>
      </w:pPr>
      <w:r>
        <w:rPr>
          <w:rFonts w:ascii="Arial" w:cs="Arial" w:eastAsia="Arial" w:hAnsi="Arial"/>
          <w:sz w:val="22"/>
          <w:szCs w:val="22"/>
        </w:rPr>
        <w:t xml:space="preserve">☐ 경쟁은행 현황 모니터링</w:t>
      </w:r>
    </w:p>
    <w:p>
      <w:pPr>
        <w:spacing w:after="80"/>
        <w:ind w:left="360"/>
      </w:pPr>
      <w:r>
        <w:rPr>
          <w:rFonts w:ascii="Arial" w:cs="Arial" w:eastAsia="Arial" w:hAnsi="Arial"/>
          <w:sz w:val="22"/>
          <w:szCs w:val="22"/>
        </w:rPr>
        <w:t xml:space="preserve">☐ 해양금융 상품 최신 정보 업데이트</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BNK부산은행 | 부산은행 해양금융 경쟁력 강화</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6"/>
      <w:szCs w:val="36"/>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 w:type="paragraph" w:styleId="Heading3">
    <w:name w:val="Heading 3"/>
    <w:basedOn w:val="Normal"/>
    <w:next w:val="Normal"/>
    <w:qFormat/>
    <w:pPr>
      <w:spacing w:after="120" w:before="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2026-04-11T06:26:26.678Z</dcterms:created>
  <dcterms:modified xsi:type="dcterms:W3CDTF">2026-04-11T06:26:26.679Z</dcterms:modified>
</cp:coreProperties>
</file>

<file path=docProps/custom.xml><?xml version="1.0" encoding="utf-8"?>
<Properties xmlns="http://schemas.openxmlformats.org/officeDocument/2006/custom-properties" xmlns:vt="http://schemas.openxmlformats.org/officeDocument/2006/docPropsVTypes"/>
</file>