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우량 여신 선제적 발굴 전략</w:t>
      </w:r>
    </w:p>
    <w:p>
      <w:pPr>
        <w:jc w:val="center"/>
      </w:pPr>
      <w:r>
        <w:rPr>
          <w:sz w:val="24"/>
        </w:rPr>
        <w:t>BNK부산은행 자산질적개선 및 수익성 강화</w:t>
      </w:r>
    </w:p>
    <w:p>
      <w:pPr>
        <w:pStyle w:val="Heading1"/>
      </w:pPr>
      <w:r>
        <w:t>1. 현황 분석</w:t>
      </w:r>
    </w:p>
    <w:p>
      <w:pPr>
        <w:spacing w:after="120"/>
      </w:pPr>
      <w:r>
        <w:t>현재 지점 여신 1,200억 원 중 개인주담대 45%, 신용대출 15%, 기업대출 40%로 구성되어 있습니다. 연체율 0.35%는 업계 평균보다 양호하나, 기업우량여신 비중을 50%로 확대하는 것을 목표로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현황</w:t>
            </w:r>
          </w:p>
        </w:tc>
        <w:tc>
          <w:tcPr>
            <w:tcW w:type="dxa" w:w="2880"/>
          </w:tcPr>
          <w:p>
            <w:r>
              <w:t>목표</w:t>
            </w:r>
          </w:p>
        </w:tc>
      </w:tr>
      <w:tr>
        <w:tc>
          <w:tcPr>
            <w:tcW w:type="dxa" w:w="2880"/>
          </w:tcPr>
          <w:p>
            <w:r>
              <w:t>여신잔액</w:t>
            </w:r>
          </w:p>
        </w:tc>
        <w:tc>
          <w:tcPr>
            <w:tcW w:type="dxa" w:w="2880"/>
          </w:tcPr>
          <w:p>
            <w:r>
              <w:t>1,200억원</w:t>
            </w:r>
          </w:p>
        </w:tc>
        <w:tc>
          <w:tcPr>
            <w:tcW w:type="dxa" w:w="2880"/>
          </w:tcPr>
          <w:p>
            <w:r>
              <w:t>1,350억원</w:t>
            </w:r>
          </w:p>
        </w:tc>
      </w:tr>
      <w:tr>
        <w:tc>
          <w:tcPr>
            <w:tcW w:type="dxa" w:w="2880"/>
          </w:tcPr>
          <w:p>
            <w:r>
              <w:t>기업대출비중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50%</w:t>
            </w:r>
          </w:p>
        </w:tc>
      </w:tr>
      <w:tr>
        <w:tc>
          <w:tcPr>
            <w:tcW w:type="dxa" w:w="2880"/>
          </w:tcPr>
          <w:p>
            <w:r>
              <w:t>연체율</w:t>
            </w:r>
          </w:p>
        </w:tc>
        <w:tc>
          <w:tcPr>
            <w:tcW w:type="dxa" w:w="2880"/>
          </w:tcPr>
          <w:p>
            <w:r>
              <w:t>0.35%</w:t>
            </w:r>
          </w:p>
        </w:tc>
        <w:tc>
          <w:tcPr>
            <w:tcW w:type="dxa" w:w="2880"/>
          </w:tcPr>
          <w:p>
            <w:r>
              <w:t>0.30%</w:t>
            </w:r>
          </w:p>
        </w:tc>
      </w:tr>
      <w:tr>
        <w:tc>
          <w:tcPr>
            <w:tcW w:type="dxa" w:w="2880"/>
          </w:tcPr>
          <w:p>
            <w:r>
              <w:t>평균금리</w:t>
            </w:r>
          </w:p>
        </w:tc>
        <w:tc>
          <w:tcPr>
            <w:tcW w:type="dxa" w:w="2880"/>
          </w:tcPr>
          <w:p>
            <w:r>
              <w:t>4.20%</w:t>
            </w:r>
          </w:p>
        </w:tc>
        <w:tc>
          <w:tcPr>
            <w:tcW w:type="dxa" w:w="2880"/>
          </w:tcPr>
          <w:p>
            <w:r>
              <w:t>4.45%</w:t>
            </w:r>
          </w:p>
        </w:tc>
      </w:tr>
    </w:tbl>
    <w:p>
      <w:pPr>
        <w:pStyle w:val="Heading1"/>
      </w:pPr>
      <w:r>
        <w:t>2. 개인 우량 여신</w:t>
      </w:r>
    </w:p>
    <w:p>
      <w:pPr>
        <w:spacing w:after="120"/>
      </w:pPr>
      <w:r>
        <w:t>리파이낸싱 타겟: 금리 4.0% 이상, 잔액 1.5억 이상의 우량 고객 약 630명을 발굴합니다. 월 67명의 신규 리파이낸싱 대출로 월 80억원의 추가 여신을 목표로 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고객수</w:t>
            </w:r>
          </w:p>
        </w:tc>
        <w:tc>
          <w:tcPr>
            <w:tcW w:type="dxa" w:w="2160"/>
          </w:tcPr>
          <w:p>
            <w:r>
              <w:t>월목표</w:t>
            </w:r>
          </w:p>
        </w:tc>
      </w:tr>
      <w:tr>
        <w:tc>
          <w:tcPr>
            <w:tcW w:type="dxa" w:w="2160"/>
          </w:tcPr>
          <w:p>
            <w:r>
              <w:t>S등급</w:t>
            </w:r>
          </w:p>
        </w:tc>
        <w:tc>
          <w:tcPr>
            <w:tcW w:type="dxa" w:w="2160"/>
          </w:tcPr>
          <w:p>
            <w:r>
              <w:t>금리4.5% 이상, 잔액2억 이상</w:t>
            </w:r>
          </w:p>
        </w:tc>
        <w:tc>
          <w:tcPr>
            <w:tcW w:type="dxa" w:w="2160"/>
          </w:tcPr>
          <w:p>
            <w:r>
              <w:t>80명</w:t>
            </w:r>
          </w:p>
        </w:tc>
        <w:tc>
          <w:tcPr>
            <w:tcW w:type="dxa" w:w="2160"/>
          </w:tcPr>
          <w:p>
            <w:r>
              <w:t>12명</w:t>
            </w:r>
          </w:p>
        </w:tc>
      </w:tr>
      <w:tr>
        <w:tc>
          <w:tcPr>
            <w:tcW w:type="dxa" w:w="2160"/>
          </w:tcPr>
          <w:p>
            <w:r>
              <w:t>A등급</w:t>
            </w:r>
          </w:p>
        </w:tc>
        <w:tc>
          <w:tcPr>
            <w:tcW w:type="dxa" w:w="2160"/>
          </w:tcPr>
          <w:p>
            <w:r>
              <w:t>금리4.0~4.5%, 1.5~2억</w:t>
            </w:r>
          </w:p>
        </w:tc>
        <w:tc>
          <w:tcPr>
            <w:tcW w:type="dxa" w:w="2160"/>
          </w:tcPr>
          <w:p>
            <w:r>
              <w:t>200명</w:t>
            </w:r>
          </w:p>
        </w:tc>
        <w:tc>
          <w:tcPr>
            <w:tcW w:type="dxa" w:w="2160"/>
          </w:tcPr>
          <w:p>
            <w:r>
              <w:t>25명</w:t>
            </w:r>
          </w:p>
        </w:tc>
      </w:tr>
      <w:tr>
        <w:tc>
          <w:tcPr>
            <w:tcW w:type="dxa" w:w="2160"/>
          </w:tcPr>
          <w:p>
            <w:r>
              <w:t>B등급</w:t>
            </w:r>
          </w:p>
        </w:tc>
        <w:tc>
          <w:tcPr>
            <w:tcW w:type="dxa" w:w="2160"/>
          </w:tcPr>
          <w:p>
            <w:r>
              <w:t>금리4.0% 이상, 1억 이상</w:t>
            </w:r>
          </w:p>
        </w:tc>
        <w:tc>
          <w:tcPr>
            <w:tcW w:type="dxa" w:w="2160"/>
          </w:tcPr>
          <w:p>
            <w:r>
              <w:t>350명</w:t>
            </w:r>
          </w:p>
        </w:tc>
        <w:tc>
          <w:tcPr>
            <w:tcW w:type="dxa" w:w="2160"/>
          </w:tcPr>
          <w:p>
            <w:r>
              <w:t>30명</w:t>
            </w:r>
          </w:p>
        </w:tc>
      </w:tr>
    </w:tbl>
    <w:p>
      <w:pPr>
        <w:pStyle w:val="Heading1"/>
      </w:pPr>
      <w:r>
        <w:t>3. 기업 우량 여신</w:t>
      </w:r>
    </w:p>
    <w:p>
      <w:pPr>
        <w:spacing w:after="120"/>
      </w:pPr>
      <w:r>
        <w:t>성장 기업 조기 발견 신호: (1)매출급증, (2)인력채용확대, (3)특허개발, (4)수출개시, (5)시설투자. 정책자금(기보, 신보, 산업은행) 연계로 우량 여신을 확대합니다.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신호</w:t>
            </w:r>
          </w:p>
        </w:tc>
        <w:tc>
          <w:tcPr>
            <w:tcW w:type="dxa" w:w="2880"/>
          </w:tcPr>
          <w:p>
            <w:r>
              <w:t>기준</w:t>
            </w:r>
          </w:p>
        </w:tc>
        <w:tc>
          <w:tcPr>
            <w:tcW w:type="dxa" w:w="2880"/>
          </w:tcPr>
          <w:p>
            <w:r>
              <w:t>여신기회</w:t>
            </w:r>
          </w:p>
        </w:tc>
      </w:tr>
      <w:tr>
        <w:tc>
          <w:tcPr>
            <w:tcW w:type="dxa" w:w="2880"/>
          </w:tcPr>
          <w:p>
            <w:r>
              <w:t>매출급증</w:t>
            </w:r>
          </w:p>
        </w:tc>
        <w:tc>
          <w:tcPr>
            <w:tcW w:type="dxa" w:w="2880"/>
          </w:tcPr>
          <w:p>
            <w:r>
              <w:t>전년 대비 30% 이상</w:t>
            </w:r>
          </w:p>
        </w:tc>
        <w:tc>
          <w:tcPr>
            <w:tcW w:type="dxa" w:w="2880"/>
          </w:tcPr>
          <w:p>
            <w:r>
              <w:t>운전자금 50~100억</w:t>
            </w:r>
          </w:p>
        </w:tc>
      </w:tr>
      <w:tr>
        <w:tc>
          <w:tcPr>
            <w:tcW w:type="dxa" w:w="2880"/>
          </w:tcPr>
          <w:p>
            <w:r>
              <w:t>인력채용</w:t>
            </w:r>
          </w:p>
        </w:tc>
        <w:tc>
          <w:tcPr>
            <w:tcW w:type="dxa" w:w="2880"/>
          </w:tcPr>
          <w:p>
            <w:r>
              <w:t>20% 이상 증가</w:t>
            </w:r>
          </w:p>
        </w:tc>
        <w:tc>
          <w:tcPr>
            <w:tcW w:type="dxa" w:w="2880"/>
          </w:tcPr>
          <w:p>
            <w:r>
              <w:t>운전자금 70~150억</w:t>
            </w:r>
          </w:p>
        </w:tc>
      </w:tr>
      <w:tr>
        <w:tc>
          <w:tcPr>
            <w:tcW w:type="dxa" w:w="2880"/>
          </w:tcPr>
          <w:p>
            <w:r>
              <w:t>특허개발</w:t>
            </w:r>
          </w:p>
        </w:tc>
        <w:tc>
          <w:tcPr>
            <w:tcW w:type="dxa" w:w="2880"/>
          </w:tcPr>
          <w:p>
            <w:r>
              <w:t>신기술, 특허청등록</w:t>
            </w:r>
          </w:p>
        </w:tc>
        <w:tc>
          <w:tcPr>
            <w:tcW w:type="dxa" w:w="2880"/>
          </w:tcPr>
          <w:p>
            <w:r>
              <w:t>R&amp;D자금 50~80억</w:t>
            </w:r>
          </w:p>
        </w:tc>
      </w:tr>
      <w:tr>
        <w:tc>
          <w:tcPr>
            <w:tcW w:type="dxa" w:w="2880"/>
          </w:tcPr>
          <w:p>
            <w:r>
              <w:t>수출개시</w:t>
            </w:r>
          </w:p>
        </w:tc>
        <w:tc>
          <w:tcPr>
            <w:tcW w:type="dxa" w:w="2880"/>
          </w:tcPr>
          <w:p>
            <w:r>
              <w:t>해외거래선 확보</w:t>
            </w:r>
          </w:p>
        </w:tc>
        <w:tc>
          <w:tcPr>
            <w:tcW w:type="dxa" w:w="2880"/>
          </w:tcPr>
          <w:p>
            <w:r>
              <w:t>수출금융 30~60억</w:t>
            </w:r>
          </w:p>
        </w:tc>
      </w:tr>
      <w:tr>
        <w:tc>
          <w:tcPr>
            <w:tcW w:type="dxa" w:w="2880"/>
          </w:tcPr>
          <w:p>
            <w:r>
              <w:t>시설투자</w:t>
            </w:r>
          </w:p>
        </w:tc>
        <w:tc>
          <w:tcPr>
            <w:tcW w:type="dxa" w:w="2880"/>
          </w:tcPr>
          <w:p>
            <w:r>
              <w:t>신공장, 설비추가</w:t>
            </w:r>
          </w:p>
        </w:tc>
        <w:tc>
          <w:tcPr>
            <w:tcW w:type="dxa" w:w="2880"/>
          </w:tcPr>
          <w:p>
            <w:r>
              <w:t>시설투자대출 100~200억</w:t>
            </w:r>
          </w:p>
        </w:tc>
      </w:tr>
    </w:tbl>
    <w:p>
      <w:pPr>
        <w:pStyle w:val="Heading1"/>
      </w:pPr>
      <w:r>
        <w:t>4. 여신 파이프라인 관리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월목표</w:t>
            </w:r>
          </w:p>
        </w:tc>
        <w:tc>
          <w:tcPr>
            <w:tcW w:type="dxa" w:w="2160"/>
          </w:tcPr>
          <w:p>
            <w:r>
              <w:t>심사통과율</w:t>
            </w:r>
          </w:p>
        </w:tc>
        <w:tc>
          <w:tcPr>
            <w:tcW w:type="dxa" w:w="2160"/>
          </w:tcPr>
          <w:p>
            <w:r>
              <w:t>최종집행율</w:t>
            </w:r>
          </w:p>
        </w:tc>
      </w:tr>
      <w:tr>
        <w:tc>
          <w:tcPr>
            <w:tcW w:type="dxa" w:w="2160"/>
          </w:tcPr>
          <w:p>
            <w:r>
              <w:t>발굴</w:t>
            </w:r>
          </w:p>
        </w:tc>
        <w:tc>
          <w:tcPr>
            <w:tcW w:type="dxa" w:w="2160"/>
          </w:tcPr>
          <w:p>
            <w:r>
              <w:t>리파이낸싱150명, 기업15건</w:t>
            </w:r>
          </w:p>
        </w:tc>
        <w:tc>
          <w:tcPr>
            <w:tcW w:type="dxa" w:w="2160"/>
          </w:tcPr>
          <w:p>
            <w:r>
              <w:t>50~60%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심사</w:t>
            </w:r>
          </w:p>
        </w:tc>
        <w:tc>
          <w:tcPr>
            <w:tcW w:type="dxa" w:w="2160"/>
          </w:tcPr>
          <w:p>
            <w:r>
              <w:t>리파이낸싱80명, 기업8건</w:t>
            </w:r>
          </w:p>
        </w:tc>
        <w:tc>
          <w:tcPr>
            <w:tcW w:type="dxa" w:w="2160"/>
          </w:tcPr>
          <w:p>
            <w:r>
              <w:t>80~90%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최종결정</w:t>
            </w:r>
          </w:p>
        </w:tc>
        <w:tc>
          <w:tcPr>
            <w:tcW w:type="dxa" w:w="2160"/>
          </w:tcPr>
          <w:p>
            <w:r>
              <w:t>리파이낸싱50명, 기업5건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85~90%</w:t>
            </w:r>
          </w:p>
        </w:tc>
      </w:tr>
      <w:tr>
        <w:tc>
          <w:tcPr>
            <w:tcW w:type="dxa" w:w="2160"/>
          </w:tcPr>
          <w:p>
            <w:r>
              <w:t>실행</w:t>
            </w:r>
          </w:p>
        </w:tc>
        <w:tc>
          <w:tcPr>
            <w:tcW w:type="dxa" w:w="2160"/>
          </w:tcPr>
          <w:p>
            <w:r>
              <w:t>40명, 4건(월75~80억)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5. 실행 체크리스트</w:t>
      </w:r>
    </w:p>
    <w:p>
      <w:pPr>
        <w:spacing w:after="120"/>
      </w:pPr>
      <w:r>
        <w:t>1. 리파이낸싱 대상 630명 DB 구축 (S/A/B 등급 분류)</w:t>
        <w:br/>
        <w:t>2. 신규 심사 기준서 작성 (CB등급, 부채비율, LTV 기준)</w:t>
        <w:br/>
        <w:t>3. 기업 성장신호 모니터링 체계 구축</w:t>
        <w:br/>
        <w:t>4. 정책자금 연계 기관과의 협력 관계 수립</w:t>
        <w:br/>
        <w:t>5. 월별 파이프라인 추적 및 본부 보고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