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6"/>
        </w:rPr>
        <w:t>TỔNG LIÊN ĐOÀN LAO ĐỘNG VIỆT NAM</w:t>
      </w:r>
    </w:p>
    <w:p>
      <w:pPr>
        <w:jc w:val="center"/>
      </w:pPr>
      <w:r>
        <w:rPr>
          <w:rFonts w:ascii="Times New Roman" w:hAnsi="Times New Roman" w:eastAsia="Times New Roman"/>
          <w:b/>
          <w:sz w:val="26"/>
        </w:rPr>
        <w:t>TRƯỜNG ĐẠI HỌC TÔN ĐỨC THẮNG</w:t>
      </w:r>
    </w:p>
    <w:p>
      <w:pPr>
        <w:jc w:val="center"/>
      </w:pPr>
      <w:r>
        <w:rPr>
          <w:rFonts w:ascii="Times New Roman" w:hAnsi="Times New Roman" w:eastAsia="Times New Roman"/>
          <w:b/>
          <w:sz w:val="26"/>
        </w:rPr>
        <w:t>KHOA CÔNG NGHỆ THÔNG TIN</w:t>
      </w:r>
    </w:p>
    <w:p/>
    <w:p/>
    <w:p/>
    <w:p>
      <w:pPr>
        <w:jc w:val="center"/>
      </w:pPr>
      <w:r>
        <w:rPr>
          <w:rFonts w:ascii="Times New Roman" w:hAnsi="Times New Roman" w:eastAsia="Times New Roman"/>
          <w:b/>
          <w:sz w:val="26"/>
        </w:rPr>
        <w:t>HỌ VÀ TÊN SINH VIÊN 1 – MSSV</w:t>
      </w:r>
    </w:p>
    <w:p>
      <w:pPr>
        <w:jc w:val="center"/>
      </w:pPr>
      <w:r>
        <w:rPr>
          <w:rFonts w:ascii="Times New Roman" w:hAnsi="Times New Roman" w:eastAsia="Times New Roman"/>
          <w:b/>
          <w:sz w:val="26"/>
        </w:rPr>
        <w:t>HỌ VÀ TÊN SINH VIÊN 2 – MSSV</w:t>
      </w:r>
    </w:p>
    <w:p>
      <w:pPr>
        <w:jc w:val="center"/>
      </w:pPr>
      <w:r>
        <w:rPr>
          <w:rFonts w:ascii="Times New Roman" w:hAnsi="Times New Roman" w:eastAsia="Times New Roman"/>
          <w:b/>
          <w:sz w:val="34"/>
        </w:rPr>
        <w:t>XÂY DỰNG MÔ HÌNH HỖ TRỢ QUYẾT ĐỊNH ĐỊNH GIÁ ĐỘNG</w:t>
        <w:br/>
        <w:t>KẾT HỢP QUẢN LÝ TỒN KHO</w:t>
      </w:r>
    </w:p>
    <w:p>
      <w:pPr>
        <w:jc w:val="center"/>
      </w:pPr>
      <w:r>
        <w:rPr>
          <w:rFonts w:ascii="Times New Roman" w:hAnsi="Times New Roman" w:eastAsia="Times New Roman"/>
          <w:b/>
          <w:sz w:val="32"/>
        </w:rPr>
        <w:t>BÁO CÁO GIỮA KỲ</w:t>
      </w:r>
    </w:p>
    <w:p>
      <w:pPr>
        <w:jc w:val="center"/>
      </w:pPr>
      <w:r>
        <w:rPr>
          <w:rFonts w:ascii="Times New Roman" w:hAnsi="Times New Roman" w:eastAsia="Times New Roman"/>
          <w:b/>
          <w:sz w:val="26"/>
        </w:rPr>
        <w:t>MÔN HỌC: IT PROJECT / IT PROJECT 2</w:t>
      </w:r>
    </w:p>
    <w:p/>
    <w:p/>
    <w:p>
      <w:pPr>
        <w:jc w:val="center"/>
      </w:pPr>
      <w:r>
        <w:rPr>
          <w:rFonts w:ascii="Times New Roman" w:hAnsi="Times New Roman" w:eastAsia="Times New Roman"/>
          <w:b w:val="0"/>
          <w:sz w:val="26"/>
        </w:rPr>
        <w:t>Người hướng dẫn: [Tên giảng viên hướng dẫn]</w:t>
      </w:r>
    </w:p>
    <w:p/>
    <w:p/>
    <w:p/>
    <w:p>
      <w:pPr>
        <w:jc w:val="center"/>
      </w:pPr>
      <w:r>
        <w:rPr>
          <w:rFonts w:ascii="Times New Roman" w:hAnsi="Times New Roman" w:eastAsia="Times New Roman"/>
          <w:b/>
          <w:sz w:val="26"/>
        </w:rPr>
        <w:t>THÀNH PHỐ HỒ CHÍ MINH, NĂM 2026</w:t>
      </w:r>
    </w:p>
    <w:p>
      <w:r>
        <w:br w:type="page"/>
      </w:r>
    </w:p>
    <w:p>
      <w:pPr>
        <w:pStyle w:val="Heading1"/>
      </w:pPr>
      <w:r>
        <w:t>LỜI CẢM ƠN</w:t>
      </w:r>
    </w:p>
    <w:p>
      <w:r>
        <w:t>Nhóm xin chân thành cảm ơn giảng viên hướng dẫn đã định hướng đề tài, góp ý về các tài liệu nghiên cứu và đề xuất phương pháp xây dựng mô hình. Những góp ý này giúp nhóm xác định rõ hơn hướng tiếp cận kết hợp dự báo nhu cầu, định giá động bằng học tăng cường và quản lý tồn kho. Nhóm sẽ tiếp tục hoàn thiện mô hình, thực nghiệm và báo cáo theo góp ý của giảng viên.</w:t>
      </w:r>
    </w:p>
    <w:p>
      <w:r>
        <w:t>TP. Hồ Chí Minh, ngày … tháng … năm 2026</w:t>
      </w:r>
    </w:p>
    <w:p>
      <w:pPr>
        <w:jc w:val="center"/>
      </w:pPr>
      <w:r>
        <w:rPr>
          <w:rFonts w:ascii="Times New Roman" w:hAnsi="Times New Roman" w:eastAsia="Times New Roman"/>
          <w:b/>
          <w:sz w:val="24"/>
        </w:rPr>
        <w:t>ĐẠI DIỆN NHÓM</w:t>
      </w:r>
    </w:p>
    <w:p>
      <w:pPr>
        <w:jc w:val="center"/>
      </w:pPr>
      <w:r>
        <w:rPr>
          <w:rFonts w:ascii="Times New Roman" w:hAnsi="Times New Roman" w:eastAsia="Times New Roman"/>
          <w:b w:val="0"/>
          <w:sz w:val="22"/>
        </w:rPr>
        <w:t>(Ký tên và ghi rõ họ tên)</w:t>
      </w:r>
    </w:p>
    <w:p>
      <w:r>
        <w:br w:type="page"/>
      </w:r>
    </w:p>
    <w:p>
      <w:pPr>
        <w:pStyle w:val="Heading1"/>
      </w:pPr>
      <w:r>
        <w:t>CAM ĐOAN</w:t>
      </w:r>
    </w:p>
    <w:p>
      <w:r>
        <w:t>Nhóm cam đoan báo cáo này được thực hiện trong quá trình học tập và nghiên cứu của nhóm dưới sự hướng dẫn của giảng viên. Các tài liệu, dữ liệu và ý tưởng tham khảo từ nguồn khác đều được ghi nhận trong phần tài liệu tham khảo. Các kết quả thực nghiệm sẽ được báo cáo đúng theo kết quả chạy thực tế; những biến hoặc kết quả được tạo bằng mô phỏng sẽ được phân biệt rõ với dữ liệu quan sát.</w:t>
      </w:r>
    </w:p>
    <w:p>
      <w:r>
        <w:t>TP. Hồ Chí Minh, ngày … tháng … năm 2026</w:t>
      </w:r>
    </w:p>
    <w:p>
      <w:pPr>
        <w:jc w:val="center"/>
      </w:pPr>
      <w:r>
        <w:rPr>
          <w:rFonts w:ascii="Times New Roman" w:hAnsi="Times New Roman" w:eastAsia="Times New Roman"/>
          <w:b/>
          <w:sz w:val="24"/>
        </w:rPr>
        <w:t>ĐẠI DIỆN NHÓM</w:t>
      </w:r>
    </w:p>
    <w:p>
      <w:pPr>
        <w:jc w:val="center"/>
      </w:pPr>
      <w:r>
        <w:rPr>
          <w:rFonts w:ascii="Times New Roman" w:hAnsi="Times New Roman" w:eastAsia="Times New Roman"/>
          <w:b w:val="0"/>
          <w:sz w:val="22"/>
        </w:rPr>
        <w:t>(Ký tên và ghi rõ họ tên)</w:t>
      </w:r>
    </w:p>
    <w:p>
      <w:r>
        <w:br w:type="page"/>
      </w:r>
    </w:p>
    <w:p>
      <w:pPr>
        <w:jc w:val="center"/>
      </w:pPr>
      <w:r>
        <w:rPr>
          <w:rFonts w:ascii="Times New Roman" w:hAnsi="Times New Roman" w:eastAsia="Times New Roman"/>
          <w:b/>
          <w:sz w:val="30"/>
        </w:rPr>
        <w:t>XÂY DỰNG MÔ HÌNH HỖ TRỢ QUYẾT ĐỊNH ĐỊNH GIÁ ĐỘNG KẾT HỢP QUẢN LÝ TỒN KHO</w:t>
      </w:r>
    </w:p>
    <w:p>
      <w:pPr>
        <w:pStyle w:val="Heading1"/>
      </w:pPr>
      <w:r>
        <w:t>TÓM TẮT</w:t>
      </w:r>
    </w:p>
    <w:p>
      <w:r>
        <w:t>Đề tài hướng đến xây dựng một hệ thống hỗ trợ quyết định định giá động kết hợp quản lý tồn kho cho bối cảnh bán lẻ thương mại điện tử. Mô hình dự kiến kết hợp phân tích độ co giãn giá, dự báo nhu cầu bằng Log-Log OLS và XGBoost, tác tử Q-learning lựa chọn hành động điều chỉnh giá trong môi trường mô phỏng, và mô-đun tồn kho sử dụng quy tắc điểm đặt hàng lại. Dữ liệu nghiên cứu là bộ Retail Price Optimization, có thông tin giá bán, lượng bán, thời gian, danh mục sản phẩm và giá đối thủ. Dữ liệu không cung cấp tồn kho thực tế, thời gian cung ứng hoặc chi phí đơn vị đã xác minh; do đó các biến này phải được xem là giả định khi mô phỏng. Ở giai đoạn giữa kỳ, nhóm đã xây dựng các thành phần phân tích/dự báo và tạo phiên bản Q-learning ban đầu. Các kết quả định giá RL cần được kiểm tra toàn bộ notebook, đánh giá cùng các chiến lược cơ sở và diễn giải thận trọng vì là kết quả mô phỏng.</w:t>
      </w:r>
    </w:p>
    <w:p>
      <w:r>
        <w:t>Từ khóa: định giá động, độ co giãn giá, XGBoost, Q-learning, học tăng cường, quản lý tồn kho.</w:t>
      </w:r>
    </w:p>
    <w:p>
      <w:r>
        <w:br w:type="page"/>
      </w:r>
    </w:p>
    <w:p>
      <w:pPr>
        <w:jc w:val="center"/>
      </w:pPr>
      <w:r>
        <w:rPr>
          <w:rFonts w:ascii="Times New Roman" w:hAnsi="Times New Roman" w:eastAsia="Times New Roman"/>
          <w:b/>
          <w:sz w:val="26"/>
        </w:rPr>
        <w:t>TITLE: A DECISION-SUPPORT MODEL FOR DYNAMIC PRICING INTEGRATED WITH INVENTORY MANAGEMENT</w:t>
      </w:r>
    </w:p>
    <w:p>
      <w:pPr>
        <w:pStyle w:val="Heading1"/>
      </w:pPr>
      <w:r>
        <w:t>ABSTRACT</w:t>
      </w:r>
    </w:p>
    <w:p>
      <w:r>
        <w:t>This project proposes a decision-support system for dynamic pricing integrated with inventory management in retail e-commerce. The framework combines price-elasticity analysis, demand forecasting using Log-Log OLS and XGBoost, a Q-learning agent for selecting price-adjustment actions in a simulated environment, and a rule-based inventory module. The Retail Price Optimization dataset provides historical prices, quantities sold, product categories, time-related features, and competitor prices. It does not provide verified on-hand inventory, lead times, or unit costs, so these variables must be treated as simulation assumptions. The current work focuses on building and validating the prototype and comparing the RL policy against baseline pricing strategies. Simulated outcomes will not be interpreted as proven real-world profit gains.</w:t>
      </w:r>
    </w:p>
    <w:p>
      <w:r>
        <w:t>Keywords: dynamic pricing, price elasticity, XGBoost, Q-learning, reinforcement learning, inventory management.</w:t>
      </w:r>
    </w:p>
    <w:p>
      <w:r>
        <w:br w:type="page"/>
      </w:r>
    </w:p>
    <w:p>
      <w:pPr>
        <w:pStyle w:val="Heading1"/>
      </w:pPr>
      <w:r>
        <w:t>MỤC LỤC</w:t>
      </w:r>
    </w:p>
    <w:p>
      <w:r>
        <w:t>CHƯƠNG 1. MỞ ĐẦU VÀ TỔNG QUAN ĐỀ TÀI</w:t>
      </w:r>
    </w:p>
    <w:p>
      <w:r>
        <w:t>1.1 Lý do chọn đề tài</w:t>
      </w:r>
    </w:p>
    <w:p>
      <w:r>
        <w:t>1.2 Mục tiêu thực hiện đề tài</w:t>
      </w:r>
    </w:p>
    <w:p>
      <w:r>
        <w:t>1.3 Phạm vi và câu hỏi nghiên cứu</w:t>
      </w:r>
    </w:p>
    <w:p>
      <w:r>
        <w:t>CHƯƠNG 2. CƠ SỞ LÝ THUYẾT</w:t>
      </w:r>
    </w:p>
    <w:p>
      <w:r>
        <w:t>2.1 Định giá động và độ co giãn giá</w:t>
      </w:r>
    </w:p>
    <w:p>
      <w:r>
        <w:t>2.2 Dự báo nhu cầu: Log-Log OLS và XGBoost</w:t>
      </w:r>
    </w:p>
    <w:p>
      <w:r>
        <w:t>2.3 Học tăng cường và Q-learning</w:t>
      </w:r>
    </w:p>
    <w:p>
      <w:r>
        <w:t>2.4 Quản lý tồn kho</w:t>
      </w:r>
    </w:p>
    <w:p>
      <w:r>
        <w:t>CHƯƠNG 3. MÔ HÌNH ĐỀ XUẤT</w:t>
      </w:r>
    </w:p>
    <w:p>
      <w:r>
        <w:t>3.1 Kiến trúc tổng thể</w:t>
      </w:r>
    </w:p>
    <w:p>
      <w:r>
        <w:t>3.2 Mô hình dự báo nhu cầu</w:t>
      </w:r>
    </w:p>
    <w:p>
      <w:r>
        <w:t>3.3 Thiết kế Q-learning</w:t>
      </w:r>
    </w:p>
    <w:p>
      <w:r>
        <w:t>3.4 Kết nối quản lý tồn kho</w:t>
      </w:r>
    </w:p>
    <w:p>
      <w:r>
        <w:t>CHƯƠNG 4. THỰC NGHIỆM</w:t>
      </w:r>
    </w:p>
    <w:p>
      <w:r>
        <w:t>4.1 Dữ liệu thực nghiệm</w:t>
      </w:r>
    </w:p>
    <w:p>
      <w:r>
        <w:t>4.2 Cài đặt thực nghiệm</w:t>
      </w:r>
    </w:p>
    <w:p>
      <w:r>
        <w:t>4.3 Kế hoạch đánh giá</w:t>
      </w:r>
    </w:p>
    <w:p>
      <w:r>
        <w:t>4.4 Kết quả và thảo luận (cập nhật sau khi chạy xác nhận)</w:t>
      </w:r>
    </w:p>
    <w:p>
      <w:r>
        <w:t>CHƯƠNG 5. KẾT LUẬN</w:t>
      </w:r>
    </w:p>
    <w:p>
      <w:r>
        <w:t>5.1 Kết luận giữa kỳ</w:t>
      </w:r>
    </w:p>
    <w:p>
      <w:r>
        <w:t>5.2 Hướng phát triển</w:t>
      </w:r>
    </w:p>
    <w:p>
      <w:r>
        <w:t>TÀI LIỆU THAM KHẢO</w:t>
      </w:r>
    </w:p>
    <w:p>
      <w:r>
        <w:br w:type="page"/>
      </w:r>
    </w:p>
    <w:p>
      <w:pPr>
        <w:pStyle w:val="Heading1"/>
      </w:pPr>
      <w:r>
        <w:t>CHƯƠNG 1. MỞ ĐẦU VÀ TỔNG QUAN ĐỀ TÀI</w:t>
      </w:r>
    </w:p>
    <w:p>
      <w:pPr>
        <w:pStyle w:val="Heading2"/>
      </w:pPr>
      <w:r>
        <w:t>1.1 Lý do chọn đề tài</w:t>
      </w:r>
    </w:p>
    <w:p>
      <w:r>
        <w:t>Trong thương mại điện tử, giá bán, nhu cầu thị trường và giá của đối thủ có thể thay đổi theo thời gian. Chiến lược giá cố định khó phản ứng linh hoạt với những thay đổi này, trong khi quyết định giảm giá không cân nhắc chi phí và tồn kho có thể làm giảm lợi nhuận. Vì vậy, đề tài nghiên cứu cách kết hợp phân tích dữ liệu, dự báo nhu cầu và học tăng cường để hỗ trợ quyết định giá, đồng thời xem xét ảnh hưởng của quyết định giá đến nhu cầu tồn kho.</w:t>
      </w:r>
    </w:p>
    <w:p>
      <w:pPr>
        <w:pStyle w:val="Heading2"/>
      </w:pPr>
      <w:r>
        <w:t>1.2 Mục tiêu thực hiện đề tài</w:t>
      </w:r>
    </w:p>
    <w:p>
      <w:pPr>
        <w:pStyle w:val="ListBullet"/>
      </w:pPr>
      <w:r>
        <w:t>Phân tích mối quan hệ giữa giá bán và lượng bán, sử dụng Log-Log OLS làm baseline.</w:t>
      </w:r>
    </w:p>
    <w:p>
      <w:pPr>
        <w:pStyle w:val="ListBullet"/>
      </w:pPr>
      <w:r>
        <w:t>So sánh khả năng dự báo nhu cầu của Log-Log OLS và XGBoost bằng MAE, RMSE trên phép chia dữ liệu theo thời gian.</w:t>
      </w:r>
    </w:p>
    <w:p>
      <w:pPr>
        <w:pStyle w:val="ListBullet"/>
      </w:pPr>
      <w:r>
        <w:t>Xây dựng tác tử Q-learning lựa chọn hành động điều chỉnh giá trong môi trường bán lẻ mô phỏng.</w:t>
      </w:r>
    </w:p>
    <w:p>
      <w:pPr>
        <w:pStyle w:val="ListBullet"/>
      </w:pPr>
      <w:r>
        <w:t>So sánh chính sách Q-learning với giá cố định, bám theo giá đối thủ và giá ngẫu nhiên.</w:t>
      </w:r>
    </w:p>
    <w:p>
      <w:pPr>
        <w:pStyle w:val="ListBullet"/>
      </w:pPr>
      <w:r>
        <w:t>Kết nối kết quả nhu cầu/giá với mô-đun quản lý tồn kho theo quy tắc, đồng thời nêu rõ các giả định mô phỏng.</w:t>
      </w:r>
    </w:p>
    <w:p>
      <w:pPr>
        <w:pStyle w:val="Heading2"/>
      </w:pPr>
      <w:r>
        <w:t>1.3 Phạm vi và câu hỏi nghiên cứu</w:t>
      </w:r>
    </w:p>
    <w:p>
      <w:r>
        <w:t>Phạm vi hiện tại là nguyên mẫu nghiên cứu sử dụng dữ liệu công khai Retail Price Optimization. Hệ thống không triển khai áp giá tự động trong môi trường kinh doanh thật. Các câu hỏi chính gồm: (i) mô hình nào dự báo nhu cầu tốt hơn trên tập kiểm thử theo thời gian; (ii) Q-learning có tạo ra lợi nhuận mô phỏng tốt hơn các chiến lược cơ sở hay không; và (iii) kết quả thay đổi thế nào khi điều chỉnh các giả định chi phí và phạt thay đổi giá.</w:t>
      </w:r>
    </w:p>
    <w:p>
      <w:pPr>
        <w:pStyle w:val="Heading1"/>
      </w:pPr>
      <w:r>
        <w:t>CHƯƠNG 2. CƠ SỞ LÝ THUYẾT</w:t>
      </w:r>
    </w:p>
    <w:p>
      <w:pPr>
        <w:pStyle w:val="Heading2"/>
      </w:pPr>
      <w:r>
        <w:t>2.1 Định giá động và độ co giãn giá</w:t>
      </w:r>
    </w:p>
    <w:p>
      <w:r>
        <w:t>Định giá động là quá trình điều chỉnh giá theo điều kiện thị trường và mục tiêu kinh doanh. Độ co giãn giá của cầu mô tả mức thay đổi tương đối của lượng cầu khi giá thay đổi tương đối. Trong mô hình Log-Log đơn giản, ln(Q) = β₀ + β₁ln(P) + ε, hệ số β₁ được diễn giải là độ co giãn giá ước lượng trong phạm vi đặc tả mô hình.</w:t>
      </w:r>
    </w:p>
    <w:p>
      <w:pPr>
        <w:pStyle w:val="Heading2"/>
      </w:pPr>
      <w:r>
        <w:t>2.2 Dự báo nhu cầu: Log-Log OLS và XGBoost</w:t>
      </w:r>
    </w:p>
    <w:p>
      <w:r>
        <w:t>Log-Log OLS được dùng làm mô hình cơ sở dễ diễn giải. XGBoost là phương pháp boosting cây quyết định có khả năng mô hình hóa quan hệ phi tuyến và tương tác giữa các đặc trưng. Hai mô hình được so sánh bằng MAE và RMSE trên cùng một phép chia theo thời gian. Việc chọn đặc trưng phải bảo đảm chỉ sử dụng thông tin sẵn có tại thời điểm ra quyết định, tránh rò rỉ thông tin từ kết quả bán hàng cùng kỳ hoặc từ giai đoạn kiểm thử.</w:t>
      </w:r>
    </w:p>
    <w:p>
      <w:pPr>
        <w:pStyle w:val="Heading2"/>
      </w:pPr>
      <w:r>
        <w:t>2.3 Học tăng cường và Q-learning</w:t>
      </w:r>
    </w:p>
    <w:p>
      <w:r>
        <w:t>Học tăng cường mô hình hóa tác tử tương tác với môi trường, chọn hành động theo trạng thái và nhận phần thưởng. Q-learning cập nhật giá trị hành động-trạng thái theo quy tắc:</w:t>
      </w:r>
    </w:p>
    <w:p>
      <w:pPr>
        <w:jc w:val="center"/>
      </w:pPr>
      <w:r>
        <w:rPr>
          <w:rFonts w:ascii="Times New Roman" w:hAnsi="Times New Roman" w:eastAsia="Times New Roman"/>
          <w:b/>
          <w:sz w:val="24"/>
        </w:rPr>
        <w:t>Q(sₜ,aₜ) ← Q(sₜ,aₜ) + α[rₜ + γ maxₐ Q(sₜ₊₁,a) − Q(sₜ,aₜ)]</w:t>
      </w:r>
    </w:p>
    <w:p>
      <w:r>
        <w:t>Trong đó α là tốc độ học và γ là hệ số chiết khấu. Với Q-learning dạng bảng, trạng thái thường được rời rạc hóa và hành động thuộc một tập hữu hạn.</w:t>
      </w:r>
    </w:p>
    <w:p>
      <w:pPr>
        <w:pStyle w:val="Heading2"/>
      </w:pPr>
      <w:r>
        <w:t>2.4 Quản lý tồn kho</w:t>
      </w:r>
    </w:p>
    <w:p>
      <w:r>
        <w:t>Điểm đặt hàng lại (Reorder Point, ROP) có thể được ước lượng bằng nhu cầu trung bình trong thời gian cung ứng cộng tồn kho an toàn. Mô hình hiện sử dụng quy tắc này ở Phase 2. Khi chưa có dữ liệu tồn kho và lead time thực, các giá trị được sử dụng chỉ là tham số kịch bản.</w:t>
      </w:r>
    </w:p>
    <w:p>
      <w:r>
        <w:br w:type="page"/>
      </w:r>
    </w:p>
    <w:p>
      <w:pPr>
        <w:pStyle w:val="Heading1"/>
      </w:pPr>
      <w:r>
        <w:t>CHƯƠNG 3. MÔ HÌNH ĐỀ XUẤT</w:t>
      </w:r>
    </w:p>
    <w:p>
      <w:pPr>
        <w:pStyle w:val="Heading2"/>
      </w:pPr>
      <w:r>
        <w:t>3.1 Kiến trúc tổng thể</w:t>
      </w:r>
    </w:p>
    <w:tbl>
      <w:tblPr>
        <w:tblStyle w:val="TableGrid"/>
        <w:tblW w:type="auto" w:w="0"/>
        <w:jc w:val="center"/>
        <w:tblLook w:firstColumn="1" w:firstRow="1" w:lastColumn="0" w:lastRow="0" w:noHBand="0" w:noVBand="1" w:val="04A0"/>
      </w:tblPr>
      <w:tblGrid>
        <w:gridCol w:w="2358"/>
        <w:gridCol w:w="2358"/>
        <w:gridCol w:w="2358"/>
        <w:gridCol w:w="2358"/>
      </w:tblGrid>
      <w:tr>
        <w:tc>
          <w:tcPr>
            <w:tcW w:type="dxa" w:w="2358"/>
            <w:shd w:fill="D9EAF7"/>
          </w:tcPr>
          <w:p>
            <w:r>
              <w:rPr>
                <w:rFonts w:ascii="Times New Roman" w:hAnsi="Times New Roman"/>
                <w:b/>
                <w:sz w:val="20"/>
              </w:rPr>
              <w:t>Mô-đun</w:t>
            </w:r>
          </w:p>
        </w:tc>
        <w:tc>
          <w:tcPr>
            <w:tcW w:type="dxa" w:w="2358"/>
            <w:shd w:fill="D9EAF7"/>
          </w:tcPr>
          <w:p>
            <w:r>
              <w:rPr>
                <w:rFonts w:ascii="Times New Roman" w:hAnsi="Times New Roman"/>
                <w:b/>
                <w:sz w:val="20"/>
              </w:rPr>
              <w:t>Đầu vào</w:t>
            </w:r>
          </w:p>
        </w:tc>
        <w:tc>
          <w:tcPr>
            <w:tcW w:type="dxa" w:w="2358"/>
            <w:shd w:fill="D9EAF7"/>
          </w:tcPr>
          <w:p>
            <w:r>
              <w:rPr>
                <w:rFonts w:ascii="Times New Roman" w:hAnsi="Times New Roman"/>
                <w:b/>
                <w:sz w:val="20"/>
              </w:rPr>
              <w:t>Xử lý</w:t>
            </w:r>
          </w:p>
        </w:tc>
        <w:tc>
          <w:tcPr>
            <w:tcW w:type="dxa" w:w="2358"/>
            <w:shd w:fill="D9EAF7"/>
          </w:tcPr>
          <w:p>
            <w:r>
              <w:rPr>
                <w:rFonts w:ascii="Times New Roman" w:hAnsi="Times New Roman"/>
                <w:b/>
                <w:sz w:val="20"/>
              </w:rPr>
              <w:t>Đầu ra</w:t>
            </w:r>
          </w:p>
        </w:tc>
      </w:tr>
      <w:tr>
        <w:tc>
          <w:tcPr>
            <w:tcW w:type="dxa" w:w="2358"/>
          </w:tcPr>
          <w:p>
            <w:r>
              <w:rPr>
                <w:rFonts w:ascii="Times New Roman" w:hAnsi="Times New Roman"/>
                <w:sz w:val="20"/>
              </w:rPr>
              <w:t>Tiền xử lý</w:t>
            </w:r>
          </w:p>
        </w:tc>
        <w:tc>
          <w:tcPr>
            <w:tcW w:type="dxa" w:w="2358"/>
          </w:tcPr>
          <w:p>
            <w:r>
              <w:rPr>
                <w:rFonts w:ascii="Times New Roman" w:hAnsi="Times New Roman"/>
                <w:sz w:val="20"/>
              </w:rPr>
              <w:t>Giá, qty, sản phẩm, thời gian, giá đối thủ</w:t>
            </w:r>
          </w:p>
        </w:tc>
        <w:tc>
          <w:tcPr>
            <w:tcW w:type="dxa" w:w="2358"/>
          </w:tcPr>
          <w:p>
            <w:r>
              <w:rPr>
                <w:rFonts w:ascii="Times New Roman" w:hAnsi="Times New Roman"/>
                <w:sz w:val="20"/>
              </w:rPr>
              <w:t>Làm sạch, sắp xếp theo thời gian, tạo đặc trưng</w:t>
            </w:r>
          </w:p>
        </w:tc>
        <w:tc>
          <w:tcPr>
            <w:tcW w:type="dxa" w:w="2358"/>
          </w:tcPr>
          <w:p>
            <w:r>
              <w:rPr>
                <w:rFonts w:ascii="Times New Roman" w:hAnsi="Times New Roman"/>
                <w:sz w:val="20"/>
              </w:rPr>
              <w:t>Dữ liệu phân tích</w:t>
            </w:r>
          </w:p>
        </w:tc>
      </w:tr>
      <w:tr>
        <w:tc>
          <w:tcPr>
            <w:tcW w:type="dxa" w:w="2358"/>
          </w:tcPr>
          <w:p>
            <w:r>
              <w:rPr>
                <w:rFonts w:ascii="Times New Roman" w:hAnsi="Times New Roman"/>
                <w:sz w:val="20"/>
              </w:rPr>
              <w:t>Dự báo nhu cầu</w:t>
            </w:r>
          </w:p>
        </w:tc>
        <w:tc>
          <w:tcPr>
            <w:tcW w:type="dxa" w:w="2358"/>
          </w:tcPr>
          <w:p>
            <w:r>
              <w:rPr>
                <w:rFonts w:ascii="Times New Roman" w:hAnsi="Times New Roman"/>
                <w:sz w:val="20"/>
              </w:rPr>
              <w:t>Giá và đặc trưng có sẵn tại thời điểm dự báo</w:t>
            </w:r>
          </w:p>
        </w:tc>
        <w:tc>
          <w:tcPr>
            <w:tcW w:type="dxa" w:w="2358"/>
          </w:tcPr>
          <w:p>
            <w:r>
              <w:rPr>
                <w:rFonts w:ascii="Times New Roman" w:hAnsi="Times New Roman"/>
                <w:sz w:val="20"/>
              </w:rPr>
              <w:t>Log-Log OLS baseline và XGBoost</w:t>
            </w:r>
          </w:p>
        </w:tc>
        <w:tc>
          <w:tcPr>
            <w:tcW w:type="dxa" w:w="2358"/>
          </w:tcPr>
          <w:p>
            <w:r>
              <w:rPr>
                <w:rFonts w:ascii="Times New Roman" w:hAnsi="Times New Roman"/>
                <w:sz w:val="20"/>
              </w:rPr>
              <w:t>Nhu cầu dự báo, chỉ số MAE/RMSE</w:t>
            </w:r>
          </w:p>
        </w:tc>
      </w:tr>
      <w:tr>
        <w:tc>
          <w:tcPr>
            <w:tcW w:type="dxa" w:w="2358"/>
          </w:tcPr>
          <w:p>
            <w:r>
              <w:rPr>
                <w:rFonts w:ascii="Times New Roman" w:hAnsi="Times New Roman"/>
                <w:sz w:val="20"/>
              </w:rPr>
              <w:t>Q-learning</w:t>
            </w:r>
          </w:p>
        </w:tc>
        <w:tc>
          <w:tcPr>
            <w:tcW w:type="dxa" w:w="2358"/>
          </w:tcPr>
          <w:p>
            <w:r>
              <w:rPr>
                <w:rFonts w:ascii="Times New Roman" w:hAnsi="Times New Roman"/>
                <w:sz w:val="20"/>
              </w:rPr>
              <w:t>Trạng thái thị trường</w:t>
            </w:r>
          </w:p>
        </w:tc>
        <w:tc>
          <w:tcPr>
            <w:tcW w:type="dxa" w:w="2358"/>
          </w:tcPr>
          <w:p>
            <w:r>
              <w:rPr>
                <w:rFonts w:ascii="Times New Roman" w:hAnsi="Times New Roman"/>
                <w:sz w:val="20"/>
              </w:rPr>
              <w:t>Chọn một trong năm mức điều chỉnh giá, cập nhật Q-table</w:t>
            </w:r>
          </w:p>
        </w:tc>
        <w:tc>
          <w:tcPr>
            <w:tcW w:type="dxa" w:w="2358"/>
          </w:tcPr>
          <w:p>
            <w:r>
              <w:rPr>
                <w:rFonts w:ascii="Times New Roman" w:hAnsi="Times New Roman"/>
                <w:sz w:val="20"/>
              </w:rPr>
              <w:t>Chính sách giá</w:t>
            </w:r>
          </w:p>
        </w:tc>
      </w:tr>
      <w:tr>
        <w:tc>
          <w:tcPr>
            <w:tcW w:type="dxa" w:w="2358"/>
          </w:tcPr>
          <w:p>
            <w:r>
              <w:rPr>
                <w:rFonts w:ascii="Times New Roman" w:hAnsi="Times New Roman"/>
                <w:sz w:val="20"/>
              </w:rPr>
              <w:t>Môi trường mô phỏng</w:t>
            </w:r>
          </w:p>
        </w:tc>
        <w:tc>
          <w:tcPr>
            <w:tcW w:type="dxa" w:w="2358"/>
          </w:tcPr>
          <w:p>
            <w:r>
              <w:rPr>
                <w:rFonts w:ascii="Times New Roman" w:hAnsi="Times New Roman"/>
                <w:sz w:val="20"/>
              </w:rPr>
              <w:t>Giá đề xuất, chi phí giả định, mô hình nhu cầu</w:t>
            </w:r>
          </w:p>
        </w:tc>
        <w:tc>
          <w:tcPr>
            <w:tcW w:type="dxa" w:w="2358"/>
          </w:tcPr>
          <w:p>
            <w:r>
              <w:rPr>
                <w:rFonts w:ascii="Times New Roman" w:hAnsi="Times New Roman"/>
                <w:sz w:val="20"/>
              </w:rPr>
              <w:t>Ước lượng qty và reward</w:t>
            </w:r>
          </w:p>
        </w:tc>
        <w:tc>
          <w:tcPr>
            <w:tcW w:type="dxa" w:w="2358"/>
          </w:tcPr>
          <w:p>
            <w:r>
              <w:rPr>
                <w:rFonts w:ascii="Times New Roman" w:hAnsi="Times New Roman"/>
                <w:sz w:val="20"/>
              </w:rPr>
              <w:t>Phần thưởng và trạng thái tiếp theo</w:t>
            </w:r>
          </w:p>
        </w:tc>
      </w:tr>
      <w:tr>
        <w:tc>
          <w:tcPr>
            <w:tcW w:type="dxa" w:w="2358"/>
          </w:tcPr>
          <w:p>
            <w:r>
              <w:rPr>
                <w:rFonts w:ascii="Times New Roman" w:hAnsi="Times New Roman"/>
                <w:sz w:val="20"/>
              </w:rPr>
              <w:t>Quản lý tồn kho</w:t>
            </w:r>
          </w:p>
        </w:tc>
        <w:tc>
          <w:tcPr>
            <w:tcW w:type="dxa" w:w="2358"/>
          </w:tcPr>
          <w:p>
            <w:r>
              <w:rPr>
                <w:rFonts w:ascii="Times New Roman" w:hAnsi="Times New Roman"/>
                <w:sz w:val="20"/>
              </w:rPr>
              <w:t>Nhu cầu, tồn kho mô phỏng, lead time, safety stock</w:t>
            </w:r>
          </w:p>
        </w:tc>
        <w:tc>
          <w:tcPr>
            <w:tcW w:type="dxa" w:w="2358"/>
          </w:tcPr>
          <w:p>
            <w:r>
              <w:rPr>
                <w:rFonts w:ascii="Times New Roman" w:hAnsi="Times New Roman"/>
                <w:sz w:val="20"/>
              </w:rPr>
              <w:t>Tính ROP và cảnh báo</w:t>
            </w:r>
          </w:p>
        </w:tc>
        <w:tc>
          <w:tcPr>
            <w:tcW w:type="dxa" w:w="2358"/>
          </w:tcPr>
          <w:p>
            <w:r>
              <w:rPr>
                <w:rFonts w:ascii="Times New Roman" w:hAnsi="Times New Roman"/>
                <w:sz w:val="20"/>
              </w:rPr>
              <w:t>Đề xuất bổ sung hàng</w:t>
            </w:r>
          </w:p>
        </w:tc>
      </w:tr>
      <w:tr>
        <w:tc>
          <w:tcPr>
            <w:tcW w:type="dxa" w:w="2358"/>
          </w:tcPr>
          <w:p>
            <w:r>
              <w:rPr>
                <w:rFonts w:ascii="Times New Roman" w:hAnsi="Times New Roman"/>
                <w:sz w:val="20"/>
              </w:rPr>
              <w:t>Đánh giá</w:t>
            </w:r>
          </w:p>
        </w:tc>
        <w:tc>
          <w:tcPr>
            <w:tcW w:type="dxa" w:w="2358"/>
          </w:tcPr>
          <w:p>
            <w:r>
              <w:rPr>
                <w:rFonts w:ascii="Times New Roman" w:hAnsi="Times New Roman"/>
                <w:sz w:val="20"/>
              </w:rPr>
              <w:t>Các chiến lược giá</w:t>
            </w:r>
          </w:p>
        </w:tc>
        <w:tc>
          <w:tcPr>
            <w:tcW w:type="dxa" w:w="2358"/>
          </w:tcPr>
          <w:p>
            <w:r>
              <w:rPr>
                <w:rFonts w:ascii="Times New Roman" w:hAnsi="Times New Roman"/>
                <w:sz w:val="20"/>
              </w:rPr>
              <w:t>So sánh trên cùng kỳ kiểm thử</w:t>
            </w:r>
          </w:p>
        </w:tc>
        <w:tc>
          <w:tcPr>
            <w:tcW w:type="dxa" w:w="2358"/>
          </w:tcPr>
          <w:p>
            <w:r>
              <w:rPr>
                <w:rFonts w:ascii="Times New Roman" w:hAnsi="Times New Roman"/>
                <w:sz w:val="20"/>
              </w:rPr>
              <w:t>Bảng kết quả, biểu đồ</w:t>
            </w:r>
          </w:p>
        </w:tc>
      </w:tr>
    </w:tbl>
    <w:p/>
    <w:p>
      <w:pPr>
        <w:pStyle w:val="Heading2"/>
      </w:pPr>
      <w:r>
        <w:t>3.2 Mô hình dự báo nhu cầu</w:t>
      </w:r>
    </w:p>
    <w:p>
      <w:r>
        <w:t>Log-Log OLS là baseline để phân tích quan hệ giá–lượng bán. XGBoost được đánh giá như một mô hình dự báo thay thế. Việc dùng mô hình nào trong môi trường mô phỏng phải dựa trên kết quả kiểm thử theo thời gian; không mặc định mô hình phức tạp hơn sẽ tốt hơn.</w:t>
      </w:r>
    </w:p>
    <w:p>
      <w:pPr>
        <w:pStyle w:val="Heading2"/>
      </w:pPr>
      <w:r>
        <w:t>3.3 Thiết kế Q-learning</w:t>
      </w:r>
    </w:p>
    <w:tbl>
      <w:tblPr>
        <w:tblStyle w:val="TableGrid"/>
        <w:tblW w:type="auto" w:w="0"/>
        <w:jc w:val="center"/>
        <w:tblLook w:firstColumn="1" w:firstRow="1" w:lastColumn="0" w:lastRow="0" w:noHBand="0" w:noVBand="1" w:val="04A0"/>
      </w:tblPr>
      <w:tblGrid>
        <w:gridCol w:w="4716"/>
        <w:gridCol w:w="4716"/>
      </w:tblGrid>
      <w:tr>
        <w:tc>
          <w:tcPr>
            <w:tcW w:type="dxa" w:w="4716"/>
            <w:shd w:fill="D9EAF7"/>
          </w:tcPr>
          <w:p>
            <w:r>
              <w:rPr>
                <w:rFonts w:ascii="Times New Roman" w:hAnsi="Times New Roman"/>
                <w:b/>
                <w:sz w:val="20"/>
              </w:rPr>
              <w:t>Thành phần</w:t>
            </w:r>
          </w:p>
        </w:tc>
        <w:tc>
          <w:tcPr>
            <w:tcW w:type="dxa" w:w="4716"/>
            <w:shd w:fill="D9EAF7"/>
          </w:tcPr>
          <w:p>
            <w:r>
              <w:rPr>
                <w:rFonts w:ascii="Times New Roman" w:hAnsi="Times New Roman"/>
                <w:b/>
                <w:sz w:val="20"/>
              </w:rPr>
              <w:t>Thiết kế ban đầu</w:t>
            </w:r>
          </w:p>
        </w:tc>
      </w:tr>
      <w:tr>
        <w:tc>
          <w:tcPr>
            <w:tcW w:type="dxa" w:w="4716"/>
          </w:tcPr>
          <w:p>
            <w:r>
              <w:rPr>
                <w:rFonts w:ascii="Times New Roman" w:hAnsi="Times New Roman"/>
                <w:sz w:val="20"/>
              </w:rPr>
              <w:t>State</w:t>
            </w:r>
          </w:p>
        </w:tc>
        <w:tc>
          <w:tcPr>
            <w:tcW w:type="dxa" w:w="4716"/>
          </w:tcPr>
          <w:p>
            <w:r>
              <w:rPr>
                <w:rFonts w:ascii="Times New Roman" w:hAnsi="Times New Roman"/>
                <w:sz w:val="20"/>
              </w:rPr>
              <w:t>Vị trí giá so với comp_1 (rẻ/xấp xỉ/đắt); xu hướng giá đối thủ (giảm/ổn định/tăng); quý; nhóm điểm sản phẩm</w:t>
            </w:r>
          </w:p>
        </w:tc>
      </w:tr>
      <w:tr>
        <w:tc>
          <w:tcPr>
            <w:tcW w:type="dxa" w:w="4716"/>
          </w:tcPr>
          <w:p>
            <w:r>
              <w:rPr>
                <w:rFonts w:ascii="Times New Roman" w:hAnsi="Times New Roman"/>
                <w:sz w:val="20"/>
              </w:rPr>
              <w:t>Action</w:t>
            </w:r>
          </w:p>
        </w:tc>
        <w:tc>
          <w:tcPr>
            <w:tcW w:type="dxa" w:w="4716"/>
          </w:tcPr>
          <w:p>
            <w:r>
              <w:rPr>
                <w:rFonts w:ascii="Times New Roman" w:hAnsi="Times New Roman"/>
                <w:sz w:val="20"/>
              </w:rPr>
              <w:t>−10%, −5%, 0%, +5%, +10% so với giá hiện tại</w:t>
            </w:r>
          </w:p>
        </w:tc>
      </w:tr>
      <w:tr>
        <w:tc>
          <w:tcPr>
            <w:tcW w:type="dxa" w:w="4716"/>
          </w:tcPr>
          <w:p>
            <w:r>
              <w:rPr>
                <w:rFonts w:ascii="Times New Roman" w:hAnsi="Times New Roman"/>
                <w:sz w:val="20"/>
              </w:rPr>
              <w:t>Reward</w:t>
            </w:r>
          </w:p>
        </w:tc>
        <w:tc>
          <w:tcPr>
            <w:tcW w:type="dxa" w:w="4716"/>
          </w:tcPr>
          <w:p>
            <w:r>
              <w:rPr>
                <w:rFonts w:ascii="Times New Roman" w:hAnsi="Times New Roman"/>
                <w:sz w:val="20"/>
              </w:rPr>
              <w:t>(giá mới − chi phí đơn vị giả định) × nhu cầu ước tính − λ × |% thay đổi giá|</w:t>
            </w:r>
          </w:p>
        </w:tc>
      </w:tr>
      <w:tr>
        <w:tc>
          <w:tcPr>
            <w:tcW w:type="dxa" w:w="4716"/>
          </w:tcPr>
          <w:p>
            <w:r>
              <w:rPr>
                <w:rFonts w:ascii="Times New Roman" w:hAnsi="Times New Roman"/>
                <w:sz w:val="20"/>
              </w:rPr>
              <w:t>Training</w:t>
            </w:r>
          </w:p>
        </w:tc>
        <w:tc>
          <w:tcPr>
            <w:tcW w:type="dxa" w:w="4716"/>
          </w:tcPr>
          <w:p>
            <w:r>
              <w:rPr>
                <w:rFonts w:ascii="Times New Roman" w:hAnsi="Times New Roman"/>
                <w:sz w:val="20"/>
              </w:rPr>
              <w:t>ε-greedy; tham số khởi đầu tham khảo từ bài báo: α=0,1; γ=0,95; ε giảm dần; 10.000 episode</w:t>
            </w:r>
          </w:p>
        </w:tc>
      </w:tr>
      <w:tr>
        <w:tc>
          <w:tcPr>
            <w:tcW w:type="dxa" w:w="4716"/>
          </w:tcPr>
          <w:p>
            <w:r>
              <w:rPr>
                <w:rFonts w:ascii="Times New Roman" w:hAnsi="Times New Roman"/>
                <w:sz w:val="20"/>
              </w:rPr>
              <w:t>Guardrails</w:t>
            </w:r>
          </w:p>
        </w:tc>
        <w:tc>
          <w:tcPr>
            <w:tcW w:type="dxa" w:w="4716"/>
          </w:tcPr>
          <w:p>
            <w:r>
              <w:rPr>
                <w:rFonts w:ascii="Times New Roman" w:hAnsi="Times New Roman"/>
                <w:sz w:val="20"/>
              </w:rPr>
              <w:t>Giới hạn giá trong khoảng hợp lệ; không cho phép giá ngoài biên đã xác định</w:t>
            </w:r>
          </w:p>
        </w:tc>
      </w:tr>
    </w:tbl>
    <w:p/>
    <w:p>
      <w:r>
        <w:t>Môi trường phải ước lượng kết quả tại các mức giá không quan sát được trực tiếp. Vì vậy, reward và lợi nhuận của tác tử là kết quả mô phỏng, phụ thuộc vào mô hình nhu cầu và các giả định.</w:t>
      </w:r>
    </w:p>
    <w:p>
      <w:pPr>
        <w:pStyle w:val="Heading2"/>
      </w:pPr>
      <w:r>
        <w:t>3.4 Kết nối quản lý tồn kho</w:t>
      </w:r>
    </w:p>
    <w:p>
      <w:pPr>
        <w:jc w:val="center"/>
      </w:pPr>
      <w:r>
        <w:rPr>
          <w:rFonts w:ascii="Times New Roman" w:hAnsi="Times New Roman" w:eastAsia="Times New Roman"/>
          <w:b/>
          <w:sz w:val="24"/>
        </w:rPr>
        <w:t>ROP = Nhu cầu dự báo trung bình mỗi tuần × Lead time (tuần) + Safety stock</w:t>
      </w:r>
    </w:p>
    <w:p>
      <w:r>
        <w:t>Nếu tồn kho khả dụng nhỏ hơn hoặc bằng ROP, hệ thống phát cảnh báo bổ sung hàng. Tồn kho ban đầu, lead time và safety stock hiện chưa được xác minh từ dữ liệu gốc, do đó cần ghi rõ là giả định kịch bản. Phiên bản mở rộng có thể đưa tồn kho vào state và bổ sung chi phí thiếu hàng vào reward sau khi Q-learning cơ bản được xác nhận.</w:t>
      </w:r>
    </w:p>
    <w:p>
      <w:pPr>
        <w:pStyle w:val="Heading1"/>
      </w:pPr>
      <w:r>
        <w:t>CHƯƠNG 4. THỰC NGHIỆM</w:t>
      </w:r>
    </w:p>
    <w:p>
      <w:pPr>
        <w:pStyle w:val="Heading2"/>
      </w:pPr>
      <w:r>
        <w:t>4.1 Dữ liệu thực nghiệm</w:t>
      </w:r>
    </w:p>
    <w:p>
      <w:r>
        <w:t>Bộ dữ liệu Retail Price Optimization có khoảng 678 dòng và 30 cột trong phiên bản đã dùng ở các bước trước, với thông tin sản phẩm/danh mục, thời gian, lượng bán qty, giá unit_price và giá đối thủ comp_1, comp_2, comp_3 cùng một số đặc trưng khác. Cần xác nhận lại kích thước dữ liệu khi chạy bản cuối cùng vì các bản tải về có thể khác nhau.</w:t>
      </w:r>
    </w:p>
    <w:p>
      <w:r>
        <w:t>Dữ liệu không có tồn kho thực tế, lead time đã xác minh hoặc chi phí đơn vị quan sát trực tiếp. Các giá trị này không được mô tả như dữ liệu thực.</w:t>
      </w:r>
    </w:p>
    <w:p>
      <w:pPr>
        <w:pStyle w:val="Heading2"/>
      </w:pPr>
      <w:r>
        <w:t>4.2 Cài đặt thực nghiệm</w:t>
      </w:r>
    </w:p>
    <w:p>
      <w:r>
        <w:t>Mô hình dự báo được đánh giá bằng cách chia dữ liệu theo thời gian, giữ giai đoạn sau làm tập kiểm thử. Các đặc trưng không được sử dụng thông tin tương lai. Q-learning dùng hành động rời rạc và chiến lược ε-greedy. Các baseline giá cố định, theo đối thủ và ngẫu nhiên được đánh giá trên cùng kỳ kiểm thử và cùng giả định về chi phí.</w:t>
      </w:r>
    </w:p>
    <w:p>
      <w:pPr>
        <w:pStyle w:val="Heading2"/>
      </w:pPr>
      <w:r>
        <w:t>4.3 Kế hoạch đánh giá</w:t>
      </w:r>
    </w:p>
    <w:tbl>
      <w:tblPr>
        <w:tblStyle w:val="TableGrid"/>
        <w:tblW w:type="auto" w:w="0"/>
        <w:jc w:val="center"/>
        <w:tblLook w:firstColumn="1" w:firstRow="1" w:lastColumn="0" w:lastRow="0" w:noHBand="0" w:noVBand="1" w:val="04A0"/>
      </w:tblPr>
      <w:tblGrid>
        <w:gridCol w:w="3144"/>
        <w:gridCol w:w="3144"/>
        <w:gridCol w:w="3144"/>
      </w:tblGrid>
      <w:tr>
        <w:tc>
          <w:tcPr>
            <w:tcW w:type="dxa" w:w="3144"/>
            <w:shd w:fill="D9EAF7"/>
          </w:tcPr>
          <w:p>
            <w:r>
              <w:rPr>
                <w:rFonts w:ascii="Times New Roman" w:hAnsi="Times New Roman"/>
                <w:b/>
                <w:sz w:val="20"/>
              </w:rPr>
              <w:t>Thử nghiệm</w:t>
            </w:r>
          </w:p>
        </w:tc>
        <w:tc>
          <w:tcPr>
            <w:tcW w:type="dxa" w:w="3144"/>
            <w:shd w:fill="D9EAF7"/>
          </w:tcPr>
          <w:p>
            <w:r>
              <w:rPr>
                <w:rFonts w:ascii="Times New Roman" w:hAnsi="Times New Roman"/>
                <w:b/>
                <w:sz w:val="20"/>
              </w:rPr>
              <w:t>Chỉ số</w:t>
            </w:r>
          </w:p>
        </w:tc>
        <w:tc>
          <w:tcPr>
            <w:tcW w:type="dxa" w:w="3144"/>
            <w:shd w:fill="D9EAF7"/>
          </w:tcPr>
          <w:p>
            <w:r>
              <w:rPr>
                <w:rFonts w:ascii="Times New Roman" w:hAnsi="Times New Roman"/>
                <w:b/>
                <w:sz w:val="20"/>
              </w:rPr>
              <w:t>Điều kiện so sánh</w:t>
            </w:r>
          </w:p>
        </w:tc>
      </w:tr>
      <w:tr>
        <w:tc>
          <w:tcPr>
            <w:tcW w:type="dxa" w:w="3144"/>
          </w:tcPr>
          <w:p>
            <w:r>
              <w:rPr>
                <w:rFonts w:ascii="Times New Roman" w:hAnsi="Times New Roman"/>
                <w:sz w:val="20"/>
              </w:rPr>
              <w:t>Dự báo OLS/XGBoost</w:t>
            </w:r>
          </w:p>
        </w:tc>
        <w:tc>
          <w:tcPr>
            <w:tcW w:type="dxa" w:w="3144"/>
          </w:tcPr>
          <w:p>
            <w:r>
              <w:rPr>
                <w:rFonts w:ascii="Times New Roman" w:hAnsi="Times New Roman"/>
                <w:sz w:val="20"/>
              </w:rPr>
              <w:t>MAE, RMSE</w:t>
            </w:r>
          </w:p>
        </w:tc>
        <w:tc>
          <w:tcPr>
            <w:tcW w:type="dxa" w:w="3144"/>
          </w:tcPr>
          <w:p>
            <w:r>
              <w:rPr>
                <w:rFonts w:ascii="Times New Roman" w:hAnsi="Times New Roman"/>
                <w:sz w:val="20"/>
              </w:rPr>
              <w:t>Cùng tập test theo thời gian</w:t>
            </w:r>
          </w:p>
        </w:tc>
      </w:tr>
      <w:tr>
        <w:tc>
          <w:tcPr>
            <w:tcW w:type="dxa" w:w="3144"/>
          </w:tcPr>
          <w:p>
            <w:r>
              <w:rPr>
                <w:rFonts w:ascii="Times New Roman" w:hAnsi="Times New Roman"/>
                <w:sz w:val="20"/>
              </w:rPr>
              <w:t>Chính sách giá</w:t>
            </w:r>
          </w:p>
        </w:tc>
        <w:tc>
          <w:tcPr>
            <w:tcW w:type="dxa" w:w="3144"/>
          </w:tcPr>
          <w:p>
            <w:r>
              <w:rPr>
                <w:rFonts w:ascii="Times New Roman" w:hAnsi="Times New Roman"/>
                <w:sz w:val="20"/>
              </w:rPr>
              <w:t>Tổng lợi nhuận mô phỏng, doanh thu</w:t>
            </w:r>
          </w:p>
        </w:tc>
        <w:tc>
          <w:tcPr>
            <w:tcW w:type="dxa" w:w="3144"/>
          </w:tcPr>
          <w:p>
            <w:r>
              <w:rPr>
                <w:rFonts w:ascii="Times New Roman" w:hAnsi="Times New Roman"/>
                <w:sz w:val="20"/>
              </w:rPr>
              <w:t>Cùng kỳ test, cùng mô hình cầu/chi phí</w:t>
            </w:r>
          </w:p>
        </w:tc>
      </w:tr>
      <w:tr>
        <w:tc>
          <w:tcPr>
            <w:tcW w:type="dxa" w:w="3144"/>
          </w:tcPr>
          <w:p>
            <w:r>
              <w:rPr>
                <w:rFonts w:ascii="Times New Roman" w:hAnsi="Times New Roman"/>
                <w:sz w:val="20"/>
              </w:rPr>
              <w:t>Ổn định giá</w:t>
            </w:r>
          </w:p>
        </w:tc>
        <w:tc>
          <w:tcPr>
            <w:tcW w:type="dxa" w:w="3144"/>
          </w:tcPr>
          <w:p>
            <w:r>
              <w:rPr>
                <w:rFonts w:ascii="Times New Roman" w:hAnsi="Times New Roman"/>
                <w:sz w:val="20"/>
              </w:rPr>
              <w:t>Số lần đổi giá, mức đổi giá trung bình</w:t>
            </w:r>
          </w:p>
        </w:tc>
        <w:tc>
          <w:tcPr>
            <w:tcW w:type="dxa" w:w="3144"/>
          </w:tcPr>
          <w:p>
            <w:r>
              <w:rPr>
                <w:rFonts w:ascii="Times New Roman" w:hAnsi="Times New Roman"/>
                <w:sz w:val="20"/>
              </w:rPr>
              <w:t>Cùng giới hạn giá</w:t>
            </w:r>
          </w:p>
        </w:tc>
      </w:tr>
      <w:tr>
        <w:tc>
          <w:tcPr>
            <w:tcW w:type="dxa" w:w="3144"/>
          </w:tcPr>
          <w:p>
            <w:r>
              <w:rPr>
                <w:rFonts w:ascii="Times New Roman" w:hAnsi="Times New Roman"/>
                <w:sz w:val="20"/>
              </w:rPr>
              <w:t>Độ nhạy</w:t>
            </w:r>
          </w:p>
        </w:tc>
        <w:tc>
          <w:tcPr>
            <w:tcW w:type="dxa" w:w="3144"/>
          </w:tcPr>
          <w:p>
            <w:r>
              <w:rPr>
                <w:rFonts w:ascii="Times New Roman" w:hAnsi="Times New Roman"/>
                <w:sz w:val="20"/>
              </w:rPr>
              <w:t>Kết quả khi đổi chi phí và λ</w:t>
            </w:r>
          </w:p>
        </w:tc>
        <w:tc>
          <w:tcPr>
            <w:tcW w:type="dxa" w:w="3144"/>
          </w:tcPr>
          <w:p>
            <w:r>
              <w:rPr>
                <w:rFonts w:ascii="Times New Roman" w:hAnsi="Times New Roman"/>
                <w:sz w:val="20"/>
              </w:rPr>
              <w:t>Báo cáo nhiều kịch bản</w:t>
            </w:r>
          </w:p>
        </w:tc>
      </w:tr>
      <w:tr>
        <w:tc>
          <w:tcPr>
            <w:tcW w:type="dxa" w:w="3144"/>
          </w:tcPr>
          <w:p>
            <w:r>
              <w:rPr>
                <w:rFonts w:ascii="Times New Roman" w:hAnsi="Times New Roman"/>
                <w:sz w:val="20"/>
              </w:rPr>
              <w:t>Tồn kho</w:t>
            </w:r>
          </w:p>
        </w:tc>
        <w:tc>
          <w:tcPr>
            <w:tcW w:type="dxa" w:w="3144"/>
          </w:tcPr>
          <w:p>
            <w:r>
              <w:rPr>
                <w:rFonts w:ascii="Times New Roman" w:hAnsi="Times New Roman"/>
                <w:sz w:val="20"/>
              </w:rPr>
              <w:t>Cảnh báo ROP, thiếu hàng mô phỏng</w:t>
            </w:r>
          </w:p>
        </w:tc>
        <w:tc>
          <w:tcPr>
            <w:tcW w:type="dxa" w:w="3144"/>
          </w:tcPr>
          <w:p>
            <w:r>
              <w:rPr>
                <w:rFonts w:ascii="Times New Roman" w:hAnsi="Times New Roman"/>
                <w:sz w:val="20"/>
              </w:rPr>
              <w:t>Ghi rõ tồn kho và lead time giả định</w:t>
            </w:r>
          </w:p>
        </w:tc>
      </w:tr>
    </w:tbl>
    <w:p/>
    <w:p>
      <w:pPr>
        <w:pStyle w:val="Heading2"/>
      </w:pPr>
      <w:r>
        <w:t>4.4 Kết quả và thảo luận</w:t>
      </w:r>
    </w:p>
    <w:p>
      <w:r>
        <w:t>Tại thời điểm lập bản báo cáo này, kết quả Q-learning mới được chạy độc lập ở mức ban đầu; toàn bộ notebook chưa được xác nhận chạy hoàn chỉnh từ đầu đến cuối. Vì vậy, phần này cần được cập nhật sau khi nhóm chạy lại notebook cuối cùng, lưu cấu hình/seed và xác nhận rằng các chiến lược được đánh giá trên cùng tập kiểm thử. Không nên đưa số liệu tạm thời vào báo cáo chính thức khi chưa tái lập được.</w:t>
      </w:r>
    </w:p>
    <w:p>
      <w:r>
        <w:t>Kết quả trước đó của mô hình dự báo cho thấy XGBoost chưa vượt Log-Log OLS về MAE/RMSE trong lần chia dữ liệu đã thử. Đây là kết quả sơ bộ, cần được tái xác nhận trong lần chạy cuối. Lợi nhuận Q-learning cũng phải được xem là mô phỏng chứ không phải lợi nhuận thực tế.</w:t>
      </w:r>
    </w:p>
    <w:p>
      <w:pPr>
        <w:pStyle w:val="Heading1"/>
      </w:pPr>
      <w:r>
        <w:t>CHƯƠNG 5. KẾT LUẬN</w:t>
      </w:r>
    </w:p>
    <w:p>
      <w:pPr>
        <w:pStyle w:val="Heading2"/>
      </w:pPr>
      <w:r>
        <w:t>5.1 Kết luận giữa kỳ</w:t>
      </w:r>
    </w:p>
    <w:p>
      <w:r>
        <w:t>Nhóm đã xác định hướng tiếp cận kết hợp phân tích độ co giãn giá, dự báo nhu cầu, học tăng cường Q-learning và quản lý tồn kho theo quy tắc. Mô hình hiện là nguyên mẫu nghiên cứu. Các bước đã triển khai gồm phân tích dữ liệu, mô hình dự báo cơ sở, thử nghiệm XGBoost và xây dựng phần Q-learning ban đầu. Cần tiếp tục xác nhận khả năng chạy lại toàn bộ notebook, kiểm tra thiết kế môi trường mô phỏng và hoàn thiện so sánh thực nghiệm trước khi kết luận về hiệu quả của chính sách giá.</w:t>
      </w:r>
    </w:p>
    <w:p>
      <w:pPr>
        <w:pStyle w:val="Heading2"/>
      </w:pPr>
      <w:r>
        <w:t>5.2 Hướng phát triển</w:t>
      </w:r>
    </w:p>
    <w:p>
      <w:pPr>
        <w:pStyle w:val="ListBullet"/>
      </w:pPr>
      <w:r>
        <w:t>Chạy và kiểm thử toàn bộ notebook từ đầu đến cuối, cố định phiên bản dữ liệu và seed.</w:t>
      </w:r>
    </w:p>
    <w:p>
      <w:pPr>
        <w:pStyle w:val="ListBullet"/>
      </w:pPr>
      <w:r>
        <w:t>Rà soát chống rò rỉ dữ liệu và kiểm tra mô hình cầu dùng để đánh giá các hành động giá.</w:t>
      </w:r>
    </w:p>
    <w:p>
      <w:pPr>
        <w:pStyle w:val="ListBullet"/>
      </w:pPr>
      <w:r>
        <w:t>Thực hiện nhiều lần huấn luyện và phân tích độ nhạy theo chi phí, mức phạt thay đổi giá và giới hạn giá.</w:t>
      </w:r>
    </w:p>
    <w:p>
      <w:pPr>
        <w:pStyle w:val="ListBullet"/>
      </w:pPr>
      <w:r>
        <w:t>Hoàn thiện bảng/biểu đồ so sánh Q-learning với các chiến lược cơ sở.</w:t>
      </w:r>
    </w:p>
    <w:p>
      <w:pPr>
        <w:pStyle w:val="ListBullet"/>
      </w:pPr>
      <w:r>
        <w:t>Kết nối mô hình với Phase 2 bằng kịch bản tồn kho được khai báo rõ; tìm dữ liệu tồn kho/lead time thực nếu có thể.</w:t>
      </w:r>
    </w:p>
    <w:p>
      <w:pPr>
        <w:pStyle w:val="ListBullet"/>
      </w:pPr>
      <w:r>
        <w:t>Đối chiếu toàn văn bài IEEE thứ hai trước khi quyết định mở rộng sang DQN hoặc MCTS.</w:t>
      </w:r>
    </w:p>
    <w:p>
      <w:pPr>
        <w:pStyle w:val="Heading1"/>
      </w:pPr>
      <w:r>
        <w:t>TÀI LIỆU THAM KHẢO</w:t>
      </w:r>
    </w:p>
    <w:p>
      <w:r>
        <w:t>[1] P. Mullapudi, “A Reinforcement Learning Approach to Dynamic Pricing,” International Journal on Science and Technology (IJSAT), Vol. 16, Issue 4, Oct.–Dec. 2025.</w:t>
      </w:r>
    </w:p>
    <w:p>
      <w:r>
        <w:t>[2] “Integrating Price Elasticity and Reinforcement Learning: A Data-Driven Framework for Strategic E-commerce Pricing,” IEEE Xplore, document 11395747. https://ieeexplore.ieee.org/document/11395747</w:t>
      </w:r>
    </w:p>
    <w:p>
      <w:r>
        <w:t>[3] Kaggle, “Retail Price Optimization” dataset. https://www.kaggle.com/datasets/suddharshan/retail-price-optimization</w:t>
      </w:r>
    </w:p>
    <w:p>
      <w:r>
        <w:t>Lưu ý: Thông tin phương pháp của tài liệu [2] cần được đối chiếu với toàn văn trước khi khẳng định chi tiết triển khai thuộc bài báo đó.</w:t>
      </w:r>
    </w:p>
    <w:sectPr w:rsidR="00FC693F" w:rsidRPr="0006063C" w:rsidSect="00034616">
      <w:footerReference w:type="default" r:id="rId9"/>
      <w:pgSz w:w="12240" w:h="15840"/>
      <w:pgMar w:top="1224" w:right="1224" w:bottom="108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Báo cáo giữa kỳ – Định giá động kết hợp quản lý tồn kho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