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val="0"/>
          <w:i w:val="0"/>
          <w:color w:val="000000"/>
          <w:sz w:val="48"/>
        </w:rPr>
        <w:t>An End-to-End Lightweight Detection and Tracking Pipeline for UAV Imagery</w:t>
      </w:r>
    </w:p>
    <w:p>
      <w:pPr>
        <w:spacing w:after="20"/>
        <w:jc w:val="center"/>
      </w:pPr>
      <w:r>
        <w:rPr>
          <w:rFonts w:ascii="Times New Roman" w:hAnsi="Times New Roman"/>
          <w:b w:val="0"/>
          <w:i w:val="0"/>
          <w:color w:val="000000"/>
          <w:sz w:val="22"/>
        </w:rPr>
        <w:t>Yukun Shi</w:t>
      </w:r>
    </w:p>
    <w:p>
      <w:pPr>
        <w:spacing w:after="80"/>
        <w:jc w:val="center"/>
      </w:pPr>
    </w:p>
    <w:p>
      <w:pPr>
        <w:spacing w:after="80"/>
        <w:jc w:val="both"/>
      </w:pPr>
      <w:r>
        <w:rPr>
          <w:rFonts w:ascii="Times New Roman" w:hAnsi="Times New Roman"/>
          <w:b/>
          <w:i/>
          <w:color w:val="000000"/>
          <w:sz w:val="18"/>
        </w:rPr>
        <w:t>Abstract-</w:t>
      </w:r>
      <w:r>
        <w:rPr>
          <w:rFonts w:ascii="Times New Roman" w:hAnsi="Times New Roman"/>
          <w:b w:val="0"/>
          <w:i w:val="0"/>
          <w:color w:val="000000"/>
          <w:sz w:val="18"/>
        </w:rPr>
        <w:t>This paper presents an end-to-end aerial vision pipeline covering dataset analysis, object detection, single- and multi-object tracking, model compression, small-object ablation, knowledge distillation, and GPU deployment. Experiments use the VisDrone detection split and all 123 UAV123 tracking sequences. A full YOLOv8s detector reached 0.2933 mAP50-95, while a width-0.4375 student reduced checkpoint size by 22.4% and retained 0.2696 mAP50-95. SAHI raised slim-model small-object recall from 0.4868 to 0.6456 but reduced throughput from 96.2 to 10.0 FPS. Output-distribution distillation produced a small heavy-occlusion recall gain in the auxiliary group analysis but did not improve small-object recall. On UAV123, DaSiamRPN achieved 0.5564 success AUC at 39.9 FPS. The final TensorRT FP16 detector provided the best deployment trade-off: 0.2700 mAP50-95, 91.7 end-to-end FPS, and 1175.9 MiB peak process memory. INT8 was slower and less accurate on the evaluated GPU. These results show that aerial accuracy is governed primarily by target scale and occlusion, while effective deployment requires joint optimization of architecture, inference strategy, numerical precision, and tracking overhead.</w:t>
      </w:r>
    </w:p>
    <w:p>
      <w:pPr>
        <w:spacing w:after="80"/>
        <w:jc w:val="both"/>
      </w:pPr>
      <w:r>
        <w:rPr>
          <w:rFonts w:ascii="Times New Roman" w:hAnsi="Times New Roman"/>
          <w:b/>
          <w:i/>
          <w:color w:val="000000"/>
          <w:sz w:val="18"/>
        </w:rPr>
        <w:t>Index Terms-</w:t>
      </w:r>
      <w:r>
        <w:rPr>
          <w:rFonts w:ascii="Times New Roman" w:hAnsi="Times New Roman"/>
          <w:b w:val="0"/>
          <w:i w:val="0"/>
          <w:color w:val="000000"/>
          <w:sz w:val="18"/>
        </w:rPr>
        <w:t>unmanned aerial vehicles, object detection, object tracking, small objects, model compression, knowledge distillation, TensorRT.</w:t>
      </w:r>
    </w:p>
    <w:p>
      <w:pPr>
        <w:sectPr>
          <w:pgSz w:w="11909" w:h="16834"/>
          <w:pgMar w:top="547" w:right="893" w:bottom="1440" w:left="893" w:header="288" w:footer="576" w:gutter="0"/>
          <w:cols w:space="360" w:num="1"/>
          <w:docGrid w:linePitch="360"/>
        </w:sectPr>
      </w:pPr>
    </w:p>
    <w:p>
      <w:pPr>
        <w:keepNext/>
        <w:spacing w:before="120" w:after="60"/>
        <w:jc w:val="center"/>
      </w:pPr>
      <w:r>
        <w:rPr>
          <w:rFonts w:ascii="Times New Roman" w:hAnsi="Times New Roman"/>
          <w:b w:val="0"/>
          <w:i w:val="0"/>
          <w:smallCaps/>
          <w:color w:val="000000"/>
          <w:sz w:val="20"/>
        </w:rPr>
        <w:t>I.  INTRODUCTION</w:t>
      </w:r>
    </w:p>
    <w:p>
      <w:pPr>
        <w:spacing w:before="0" w:after="40" w:line="240" w:lineRule="auto"/>
        <w:ind w:firstLine="202"/>
        <w:jc w:val="both"/>
      </w:pPr>
      <w:r>
        <w:rPr>
          <w:rFonts w:ascii="Times New Roman" w:hAnsi="Times New Roman"/>
          <w:b w:val="0"/>
          <w:i w:val="0"/>
          <w:color w:val="000000"/>
          <w:sz w:val="20"/>
        </w:rPr>
        <w:t>UAV imagery combines wide fields of view with small targets, dense traffic, camera motion, and frequent occlusion. The VisDrone benchmark formalized these difficulties for detection and tracking [1], while UAV123 provides 123 low-altitude single-object tracking sequences [2]. A practical airborne system must therefore balance localization accuracy, temporal stability, model size, latency, and memory rather than optimize a single leaderboard metric.</w:t>
      </w:r>
    </w:p>
    <w:p>
      <w:pPr>
        <w:spacing w:before="0" w:after="40" w:line="240" w:lineRule="auto"/>
        <w:ind w:firstLine="202"/>
        <w:jc w:val="both"/>
      </w:pPr>
      <w:r>
        <w:rPr>
          <w:rFonts w:ascii="Times New Roman" w:hAnsi="Times New Roman"/>
          <w:b w:val="0"/>
          <w:i w:val="0"/>
          <w:color w:val="000000"/>
          <w:sz w:val="20"/>
        </w:rPr>
        <w:t>The project developed a reproducible pipeline from raw annotation analysis to a deployable detection-and-tracking application. YOLOv8 [3] was selected as the principal one-stage detector. Faster R-CNN [4] with an FPN [5] and a MobileNetV3 backbone [6] was also evaluated as an alternative lightweight direction. The study then tested resizing and color augmentation, conservative width reduction, focal loss [7], sliced inference [8], single-object Siamese tracking [9], online data association [10], [11], knowledge distillation [12], ONNX interchange [13], and TensorRT deployment [14].</w:t>
      </w:r>
    </w:p>
    <w:p>
      <w:pPr>
        <w:spacing w:before="0" w:after="40" w:line="240" w:lineRule="auto"/>
        <w:ind w:firstLine="202"/>
        <w:jc w:val="both"/>
      </w:pPr>
      <w:r>
        <w:rPr>
          <w:rFonts w:ascii="Times New Roman" w:hAnsi="Times New Roman"/>
          <w:b w:val="0"/>
          <w:i w:val="0"/>
          <w:color w:val="000000"/>
          <w:sz w:val="20"/>
        </w:rPr>
        <w:t>The contributions are fourfold. First, the paper reports a complete dataset-to-deployment implementation using saved experimental artifacts rather than estimated values. Second, it isolates small-object and occlusion behavior with group-specific recall. Third, it compares classical and Siamese single-object trackers and integrates ByteTrack into the detector. Fourth, it documents negative results: aggressive slimming, untuned focal loss, image-level resampling, and the tested INT8 route did not improve the final accuracy-efficiency operating point.</w:t>
      </w:r>
    </w:p>
    <w:p>
      <w:pPr>
        <w:keepNext/>
        <w:spacing w:before="80" w:after="20"/>
        <w:jc w:val="center"/>
      </w:pPr>
      <w:r>
        <w:drawing>
          <wp:inline xmlns:a="http://schemas.openxmlformats.org/drawingml/2006/main" xmlns:pic="http://schemas.openxmlformats.org/drawingml/2006/picture">
            <wp:extent cx="3054096" cy="1717929"/>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3054096" cy="1717929"/>
                    </a:xfrm>
                    <a:prstGeom prst="rect"/>
                  </pic:spPr>
                </pic:pic>
              </a:graphicData>
            </a:graphic>
          </wp:inline>
        </w:drawing>
      </w:r>
    </w:p>
    <w:p>
      <w:pPr>
        <w:spacing w:after="80"/>
        <w:jc w:val="both"/>
      </w:pPr>
      <w:r>
        <w:rPr>
          <w:rFonts w:ascii="Times New Roman" w:hAnsi="Times New Roman"/>
          <w:b w:val="0"/>
          <w:i w:val="0"/>
          <w:color w:val="000000"/>
          <w:sz w:val="16"/>
        </w:rPr>
        <w:t xml:space="preserve">Fig. 1. </w:t>
      </w:r>
      <w:r>
        <w:rPr>
          <w:rFonts w:ascii="Times New Roman" w:hAnsi="Times New Roman"/>
          <w:b w:val="0"/>
          <w:i w:val="0"/>
          <w:color w:val="000000"/>
          <w:sz w:val="16"/>
        </w:rPr>
        <w:t>Implemented processing and deployment pipeline. The teacher model is used only during training.</w:t>
      </w:r>
    </w:p>
    <w:p>
      <w:pPr>
        <w:keepNext/>
        <w:spacing w:before="120" w:after="60"/>
        <w:jc w:val="center"/>
      </w:pPr>
      <w:r>
        <w:rPr>
          <w:rFonts w:ascii="Times New Roman" w:hAnsi="Times New Roman"/>
          <w:b w:val="0"/>
          <w:i w:val="0"/>
          <w:smallCaps/>
          <w:color w:val="000000"/>
          <w:sz w:val="20"/>
        </w:rPr>
        <w:t>II.  RELATED WORK</w:t>
      </w:r>
    </w:p>
    <w:p>
      <w:pPr>
        <w:keepNext/>
        <w:spacing w:before="80" w:after="20"/>
      </w:pPr>
      <w:r>
        <w:rPr>
          <w:rFonts w:ascii="Times New Roman" w:hAnsi="Times New Roman"/>
          <w:b w:val="0"/>
          <w:i/>
          <w:color w:val="000000"/>
          <w:sz w:val="20"/>
        </w:rPr>
        <w:t>A. Aerial Detection and Small Objects</w:t>
      </w:r>
    </w:p>
    <w:p>
      <w:pPr>
        <w:spacing w:before="0" w:after="40" w:line="240" w:lineRule="auto"/>
        <w:ind w:firstLine="202"/>
        <w:jc w:val="both"/>
      </w:pPr>
      <w:r>
        <w:rPr>
          <w:rFonts w:ascii="Times New Roman" w:hAnsi="Times New Roman"/>
          <w:b w:val="0"/>
          <w:i w:val="0"/>
          <w:color w:val="000000"/>
          <w:sz w:val="20"/>
        </w:rPr>
        <w:t>VisDrone includes urban and suburban scenes with object categories, bounding boxes, truncation, and occlusion annotations [1]. Multi-scale representation is commonly addressed by FPN [5]. Focal loss reduces the contribution of easy examples under class imbalance [7], while SAHI enlarges the effective pixel footprint of small targets by applying a detector to overlapping slices [8]. COCO-style AP over multiple IoU thresholds is used as a localization-sensitive summary metric [15].</w:t>
      </w:r>
    </w:p>
    <w:p>
      <w:pPr>
        <w:keepNext/>
        <w:spacing w:before="80" w:after="20"/>
      </w:pPr>
      <w:r>
        <w:rPr>
          <w:rFonts w:ascii="Times New Roman" w:hAnsi="Times New Roman"/>
          <w:b w:val="0"/>
          <w:i/>
          <w:color w:val="000000"/>
          <w:sz w:val="20"/>
        </w:rPr>
        <w:t>B. Tracking and Deployment</w:t>
      </w:r>
    </w:p>
    <w:p>
      <w:pPr>
        <w:spacing w:before="0" w:after="40" w:line="240" w:lineRule="auto"/>
        <w:ind w:firstLine="202"/>
        <w:jc w:val="both"/>
      </w:pPr>
      <w:r>
        <w:rPr>
          <w:rFonts w:ascii="Times New Roman" w:hAnsi="Times New Roman"/>
          <w:b w:val="0"/>
          <w:i w:val="0"/>
          <w:color w:val="000000"/>
          <w:sz w:val="20"/>
        </w:rPr>
        <w:t>DaSiamRPN improves Siamese tracking robustness by explicitly learning distractor-aware features [9]. KCF and CSRT provide complementary classical correlation-filter baselines for speed-robustness comparison [16], [17]. For multi-object tracking, SORT demonstrated that detector quality strongly affects association quality [10], and ByteTrack later recovered low-score detections through a two-stage association strategy [11]. For deployment, ONNX provides a portable graph representation [13], whereas TensorRT performs graph optimization, layer fusion, kernel selection, and reduced-precision execution on NVIDIA GPUs [14].</w:t>
      </w:r>
    </w:p>
    <w:p>
      <w:pPr>
        <w:keepNext/>
        <w:spacing w:before="120" w:after="60"/>
        <w:jc w:val="center"/>
      </w:pPr>
      <w:r>
        <w:rPr>
          <w:rFonts w:ascii="Times New Roman" w:hAnsi="Times New Roman"/>
          <w:b w:val="0"/>
          <w:i w:val="0"/>
          <w:smallCaps/>
          <w:color w:val="000000"/>
          <w:sz w:val="20"/>
        </w:rPr>
        <w:t>III.  DATA AND EXPERIMENTAL PROTOCOL</w:t>
      </w:r>
    </w:p>
    <w:p>
      <w:pPr>
        <w:keepNext/>
        <w:spacing w:before="80" w:after="20"/>
      </w:pPr>
      <w:r>
        <w:rPr>
          <w:rFonts w:ascii="Times New Roman" w:hAnsi="Times New Roman"/>
          <w:b w:val="0"/>
          <w:i/>
          <w:color w:val="000000"/>
          <w:sz w:val="20"/>
        </w:rPr>
        <w:t>A. Datasets</w:t>
      </w:r>
    </w:p>
    <w:p>
      <w:pPr>
        <w:spacing w:before="0" w:after="40" w:line="240" w:lineRule="auto"/>
        <w:ind w:firstLine="202"/>
        <w:jc w:val="both"/>
      </w:pPr>
      <w:r>
        <w:rPr>
          <w:rFonts w:ascii="Times New Roman" w:hAnsi="Times New Roman"/>
          <w:b w:val="0"/>
          <w:i w:val="0"/>
          <w:color w:val="000000"/>
          <w:sz w:val="20"/>
        </w:rPr>
        <w:t>The VisDrone training split contains 6,471 images and 353,550 annotated objects; the validation split contains 548 images and 40,169 objects. Objects with bounding-box area below 32 x 32 pixels account for 60.1% of training annotations and 67.7% of validation annotations. UAV123 contains 123 sequences and 112,578 annotated frames.</w:t>
      </w:r>
    </w:p>
    <w:p>
      <w:pPr>
        <w:keepNext/>
        <w:spacing w:before="80" w:after="20"/>
        <w:jc w:val="center"/>
      </w:pPr>
      <w:r>
        <w:rPr>
          <w:rFonts w:ascii="Times New Roman" w:hAnsi="Times New Roman"/>
          <w:b w:val="0"/>
          <w:i w:val="0"/>
          <w:color w:val="000000"/>
          <w:sz w:val="16"/>
        </w:rPr>
        <w:t>TABLE I</w:t>
      </w:r>
    </w:p>
    <w:p>
      <w:pPr>
        <w:keepNext/>
        <w:spacing w:after="40"/>
        <w:jc w:val="center"/>
      </w:pPr>
      <w:r>
        <w:rPr>
          <w:rFonts w:ascii="Times New Roman" w:hAnsi="Times New Roman"/>
          <w:b w:val="0"/>
          <w:i w:val="0"/>
          <w:color w:val="000000"/>
          <w:sz w:val="16"/>
        </w:rPr>
        <w:t>DATASET SUMMARY</w:t>
      </w:r>
    </w:p>
    <w:tbl>
      <w:tblPr>
        <w:tblW w:type="dxa" w:w="4800"/>
        <w:jc w:val="center"/>
        <w:tblLayout w:type="fixed"/>
        <w:tblLook w:firstColumn="1" w:firstRow="1" w:lastColumn="0" w:lastRow="0" w:noHBand="0" w:noVBand="1" w:val="04A0"/>
      </w:tblPr>
      <w:tblGrid>
        <w:gridCol w:w="1800"/>
        <w:gridCol w:w="1500"/>
        <w:gridCol w:w="1500"/>
      </w:tblGrid>
      <w:tr>
        <w:tc>
          <w:tcPr>
            <w:tcW w:type="dxa" w:w="1800"/>
            <w:tcMar>
              <w:top w:w="35" w:type="dxa"/>
              <w:start w:w="20" w:type="dxa"/>
              <w:bottom w:w="35" w:type="dxa"/>
              <w:end w:w="20" w:type="dxa"/>
            </w:tcMar>
            <w:vAlign w:val="center"/>
            <w:shd w:fill="E5E7EB"/>
          </w:tcPr>
          <w:p>
            <w:pPr>
              <w:jc w:val="center"/>
            </w:pPr>
            <w:r>
              <w:rPr>
                <w:rFonts w:ascii="Times New Roman" w:hAnsi="Times New Roman"/>
                <w:b/>
                <w:i w:val="0"/>
                <w:color w:val="000000"/>
                <w:sz w:val="14"/>
              </w:rPr>
              <w:t>Dataset</w:t>
            </w:r>
          </w:p>
        </w:tc>
        <w:tc>
          <w:tcPr>
            <w:tcW w:type="dxa" w:w="1500"/>
            <w:tcMar>
              <w:top w:w="35" w:type="dxa"/>
              <w:start w:w="20" w:type="dxa"/>
              <w:bottom w:w="35" w:type="dxa"/>
              <w:end w:w="20" w:type="dxa"/>
            </w:tcMar>
            <w:vAlign w:val="center"/>
            <w:shd w:fill="E5E7EB"/>
          </w:tcPr>
          <w:p>
            <w:pPr>
              <w:jc w:val="center"/>
            </w:pPr>
            <w:r>
              <w:rPr>
                <w:rFonts w:ascii="Times New Roman" w:hAnsi="Times New Roman"/>
                <w:b/>
                <w:i w:val="0"/>
                <w:color w:val="000000"/>
                <w:sz w:val="14"/>
              </w:rPr>
              <w:t>Images / Sequences</w:t>
            </w:r>
          </w:p>
        </w:tc>
        <w:tc>
          <w:tcPr>
            <w:tcW w:type="dxa" w:w="1500"/>
            <w:tcMar>
              <w:top w:w="35" w:type="dxa"/>
              <w:start w:w="20" w:type="dxa"/>
              <w:bottom w:w="35" w:type="dxa"/>
              <w:end w:w="20" w:type="dxa"/>
            </w:tcMar>
            <w:vAlign w:val="center"/>
            <w:shd w:fill="E5E7EB"/>
          </w:tcPr>
          <w:p>
            <w:pPr>
              <w:jc w:val="center"/>
            </w:pPr>
            <w:r>
              <w:rPr>
                <w:rFonts w:ascii="Times New Roman" w:hAnsi="Times New Roman"/>
                <w:b/>
                <w:i w:val="0"/>
                <w:color w:val="000000"/>
                <w:sz w:val="14"/>
              </w:rPr>
              <w:t>Objects / Frames</w:t>
            </w:r>
          </w:p>
        </w:tc>
      </w:tr>
      <w:tr>
        <w:tc>
          <w:tcPr>
            <w:tcW w:type="dxa" w:w="1800"/>
            <w:vAlign w:val="center"/>
            <w:tcMar>
              <w:top w:w="35" w:type="dxa"/>
              <w:start w:w="20" w:type="dxa"/>
              <w:bottom w:w="35" w:type="dxa"/>
              <w:end w:w="20" w:type="dxa"/>
            </w:tcMar>
          </w:tcPr>
          <w:p>
            <w:pPr>
              <w:spacing w:after="0"/>
              <w:jc w:val="left"/>
            </w:pPr>
            <w:r>
              <w:rPr>
                <w:rFonts w:ascii="Times New Roman" w:hAnsi="Times New Roman"/>
                <w:b w:val="0"/>
                <w:i w:val="0"/>
                <w:color w:val="000000"/>
                <w:sz w:val="14"/>
              </w:rPr>
              <w:t>VisDrone train</w:t>
            </w:r>
          </w:p>
        </w:tc>
        <w:tc>
          <w:tcPr>
            <w:tcW w:type="dxa" w:w="15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6,471 images</w:t>
            </w:r>
          </w:p>
        </w:tc>
        <w:tc>
          <w:tcPr>
            <w:tcW w:type="dxa" w:w="15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353,550 objects</w:t>
            </w:r>
          </w:p>
        </w:tc>
      </w:tr>
      <w:tr>
        <w:tc>
          <w:tcPr>
            <w:tcW w:type="dxa" w:w="1800"/>
            <w:vAlign w:val="center"/>
            <w:tcMar>
              <w:top w:w="35" w:type="dxa"/>
              <w:start w:w="20" w:type="dxa"/>
              <w:bottom w:w="35" w:type="dxa"/>
              <w:end w:w="20" w:type="dxa"/>
            </w:tcMar>
          </w:tcPr>
          <w:p>
            <w:pPr>
              <w:spacing w:after="0"/>
              <w:jc w:val="left"/>
            </w:pPr>
            <w:r>
              <w:rPr>
                <w:rFonts w:ascii="Times New Roman" w:hAnsi="Times New Roman"/>
                <w:b w:val="0"/>
                <w:i w:val="0"/>
                <w:color w:val="000000"/>
                <w:sz w:val="14"/>
              </w:rPr>
              <w:t>VisDrone validation</w:t>
            </w:r>
          </w:p>
        </w:tc>
        <w:tc>
          <w:tcPr>
            <w:tcW w:type="dxa" w:w="15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548 images</w:t>
            </w:r>
          </w:p>
        </w:tc>
        <w:tc>
          <w:tcPr>
            <w:tcW w:type="dxa" w:w="15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40,169 objects</w:t>
            </w:r>
          </w:p>
        </w:tc>
      </w:tr>
      <w:tr>
        <w:tc>
          <w:tcPr>
            <w:tcW w:type="dxa" w:w="1800"/>
            <w:vAlign w:val="center"/>
            <w:tcMar>
              <w:top w:w="35" w:type="dxa"/>
              <w:start w:w="20" w:type="dxa"/>
              <w:bottom w:w="35" w:type="dxa"/>
              <w:end w:w="20" w:type="dxa"/>
            </w:tcMar>
          </w:tcPr>
          <w:p>
            <w:pPr>
              <w:spacing w:after="0"/>
              <w:jc w:val="left"/>
            </w:pPr>
            <w:r>
              <w:rPr>
                <w:rFonts w:ascii="Times New Roman" w:hAnsi="Times New Roman"/>
                <w:b w:val="0"/>
                <w:i w:val="0"/>
                <w:color w:val="000000"/>
                <w:sz w:val="14"/>
              </w:rPr>
              <w:t>UAV123</w:t>
            </w:r>
          </w:p>
        </w:tc>
        <w:tc>
          <w:tcPr>
            <w:tcW w:type="dxa" w:w="15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123 sequences</w:t>
            </w:r>
          </w:p>
        </w:tc>
        <w:tc>
          <w:tcPr>
            <w:tcW w:type="dxa" w:w="15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112,578 frames</w:t>
            </w:r>
          </w:p>
        </w:tc>
      </w:tr>
    </w:tbl>
    <w:p>
      <w:pPr>
        <w:spacing w:after="40"/>
      </w:pPr>
    </w:p>
    <w:p>
      <w:pPr>
        <w:keepNext/>
        <w:spacing w:before="80" w:after="20"/>
        <w:jc w:val="center"/>
      </w:pPr>
      <w:r>
        <w:drawing>
          <wp:inline xmlns:a="http://schemas.openxmlformats.org/drawingml/2006/main" xmlns:pic="http://schemas.openxmlformats.org/drawingml/2006/picture">
            <wp:extent cx="3054096" cy="1756105"/>
            <wp:docPr id="2" name="Picture 2"/>
            <wp:cNvGraphicFramePr>
              <a:graphicFrameLocks noChangeAspect="1"/>
            </wp:cNvGraphicFramePr>
            <a:graphic>
              <a:graphicData uri="http://schemas.openxmlformats.org/drawingml/2006/picture">
                <pic:pic>
                  <pic:nvPicPr>
                    <pic:cNvPr id="0" name="dataset_eda.png"/>
                    <pic:cNvPicPr/>
                  </pic:nvPicPr>
                  <pic:blipFill>
                    <a:blip r:embed="rId10"/>
                    <a:stretch>
                      <a:fillRect/>
                    </a:stretch>
                  </pic:blipFill>
                  <pic:spPr>
                    <a:xfrm>
                      <a:off x="0" y="0"/>
                      <a:ext cx="3054096" cy="1756105"/>
                    </a:xfrm>
                    <a:prstGeom prst="rect"/>
                  </pic:spPr>
                </pic:pic>
              </a:graphicData>
            </a:graphic>
          </wp:inline>
        </w:drawing>
      </w:r>
    </w:p>
    <w:p>
      <w:pPr>
        <w:spacing w:after="80"/>
        <w:jc w:val="both"/>
      </w:pPr>
      <w:r>
        <w:rPr>
          <w:rFonts w:ascii="Times New Roman" w:hAnsi="Times New Roman"/>
          <w:b w:val="0"/>
          <w:i w:val="0"/>
          <w:color w:val="000000"/>
          <w:sz w:val="16"/>
        </w:rPr>
        <w:t xml:space="preserve">Fig. 2. </w:t>
      </w:r>
      <w:r>
        <w:rPr>
          <w:rFonts w:ascii="Times New Roman" w:hAnsi="Times New Roman"/>
          <w:b w:val="0"/>
          <w:i w:val="0"/>
          <w:color w:val="000000"/>
          <w:sz w:val="16"/>
        </w:rPr>
        <w:t>Measured class imbalance and small-object prevalence in VisDrone.</w:t>
      </w:r>
    </w:p>
    <w:p>
      <w:pPr>
        <w:keepNext/>
        <w:spacing w:before="80" w:after="20"/>
      </w:pPr>
      <w:r>
        <w:rPr>
          <w:rFonts w:ascii="Times New Roman" w:hAnsi="Times New Roman"/>
          <w:b w:val="0"/>
          <w:i/>
          <w:color w:val="000000"/>
          <w:sz w:val="20"/>
        </w:rPr>
        <w:t>B. Metrics and Hardware</w:t>
      </w:r>
    </w:p>
    <w:p>
      <w:pPr>
        <w:spacing w:before="0" w:after="40" w:line="240" w:lineRule="auto"/>
        <w:ind w:firstLine="202"/>
        <w:jc w:val="both"/>
      </w:pPr>
      <w:r>
        <w:rPr>
          <w:rFonts w:ascii="Times New Roman" w:hAnsi="Times New Roman"/>
          <w:b w:val="0"/>
          <w:i w:val="0"/>
          <w:color w:val="000000"/>
          <w:sz w:val="20"/>
        </w:rPr>
        <w:t>Detection reports precision, recall, AP50, mAP50-95, and class-aware recall at IoU 0.50 for small objects and heavy occlusion. Single-object tracking reports success AUC, precision at 20 pixels, mean IoU, center error, and FPS. Deployment benchmarks use batch one after warm-up. All principal experiments ran in Python 3.10 with PyTorch and CUDA on an NVIDIA GeForce RTX 5080 Laptop GPU. TensorRT experiments used version 11.1. Results from distinct evaluator protocols are kept in separate comparisons.</w:t>
      </w:r>
    </w:p>
    <w:p>
      <w:pPr>
        <w:keepNext/>
        <w:spacing w:before="120" w:after="60"/>
        <w:jc w:val="center"/>
      </w:pPr>
      <w:r>
        <w:rPr>
          <w:rFonts w:ascii="Times New Roman" w:hAnsi="Times New Roman"/>
          <w:b w:val="0"/>
          <w:i w:val="0"/>
          <w:smallCaps/>
          <w:color w:val="000000"/>
          <w:sz w:val="20"/>
        </w:rPr>
        <w:t>IV.  DETECTION, COMPRESSION, AND TRACKING RESULTS</w:t>
      </w:r>
    </w:p>
    <w:p>
      <w:pPr>
        <w:keepNext/>
        <w:spacing w:before="80" w:after="20"/>
      </w:pPr>
      <w:r>
        <w:rPr>
          <w:rFonts w:ascii="Times New Roman" w:hAnsi="Times New Roman"/>
          <w:b w:val="0"/>
          <w:i/>
          <w:color w:val="000000"/>
          <w:sz w:val="20"/>
        </w:rPr>
        <w:t>A. Detector Development</w:t>
      </w:r>
    </w:p>
    <w:p>
      <w:pPr>
        <w:spacing w:before="0" w:after="40" w:line="240" w:lineRule="auto"/>
        <w:ind w:firstLine="202"/>
        <w:jc w:val="both"/>
      </w:pPr>
      <w:r>
        <w:rPr>
          <w:rFonts w:ascii="Times New Roman" w:hAnsi="Times New Roman"/>
          <w:b w:val="0"/>
          <w:i w:val="0"/>
          <w:color w:val="000000"/>
          <w:sz w:val="20"/>
        </w:rPr>
        <w:t>The initial 10-epoch YOLOv8s baseline achieved 0.2551 mAP50-95. Extending the mild-augmentation recipe to the selected long-run checkpoint increased mAP50-95 to 0.2933 and small-object recall to 0.5201. A YOLOv8n model trained for 50 epochs was compact but reached only 0.2053 mAP50-95. An initial width-0.375 slim YOLOv8s also underperformed at 0.1687 mAP50-95. Conservative width-0.4375 scaling plus 100-epoch recovery produced an 8.62 M-parameter, 16.70 MiB checkpoint with 0.2696 mAP50-95.</w:t>
      </w:r>
    </w:p>
    <w:p>
      <w:pPr>
        <w:keepNext/>
        <w:spacing w:before="80" w:after="20"/>
        <w:jc w:val="center"/>
      </w:pPr>
      <w:r>
        <w:rPr>
          <w:rFonts w:ascii="Times New Roman" w:hAnsi="Times New Roman"/>
          <w:b w:val="0"/>
          <w:i w:val="0"/>
          <w:color w:val="000000"/>
          <w:sz w:val="16"/>
        </w:rPr>
        <w:t>TABLE II</w:t>
      </w:r>
    </w:p>
    <w:p>
      <w:pPr>
        <w:keepNext/>
        <w:spacing w:after="40"/>
        <w:jc w:val="center"/>
      </w:pPr>
      <w:r>
        <w:rPr>
          <w:rFonts w:ascii="Times New Roman" w:hAnsi="Times New Roman"/>
          <w:b w:val="0"/>
          <w:i w:val="0"/>
          <w:color w:val="000000"/>
          <w:sz w:val="16"/>
        </w:rPr>
        <w:t>UNIFIED VISDRONE DETECTOR RESULTS (AP = MAP50-95)</w:t>
      </w:r>
    </w:p>
    <w:tbl>
      <w:tblPr>
        <w:tblW w:type="dxa" w:w="4800"/>
        <w:jc w:val="center"/>
        <w:tblLayout w:type="fixed"/>
        <w:tblLook w:firstColumn="1" w:firstRow="1" w:lastColumn="0" w:lastRow="0" w:noHBand="0" w:noVBand="1" w:val="04A0"/>
      </w:tblPr>
      <w:tblGrid>
        <w:gridCol w:w="1450"/>
        <w:gridCol w:w="650"/>
        <w:gridCol w:w="650"/>
        <w:gridCol w:w="650"/>
        <w:gridCol w:w="700"/>
        <w:gridCol w:w="700"/>
      </w:tblGrid>
      <w:tr>
        <w:tc>
          <w:tcPr>
            <w:tcW w:type="dxa" w:w="1450"/>
            <w:tcMar>
              <w:top w:w="35" w:type="dxa"/>
              <w:start w:w="20" w:type="dxa"/>
              <w:bottom w:w="35" w:type="dxa"/>
              <w:end w:w="20" w:type="dxa"/>
            </w:tcMar>
            <w:vAlign w:val="center"/>
            <w:shd w:fill="E5E7EB"/>
          </w:tcPr>
          <w:p>
            <w:pPr>
              <w:jc w:val="center"/>
            </w:pPr>
            <w:r>
              <w:rPr>
                <w:rFonts w:ascii="Times New Roman" w:hAnsi="Times New Roman"/>
                <w:b/>
                <w:i w:val="0"/>
                <w:color w:val="000000"/>
                <w:sz w:val="14"/>
              </w:rPr>
              <w:t>Model</w:t>
            </w:r>
          </w:p>
        </w:tc>
        <w:tc>
          <w:tcPr>
            <w:tcW w:type="dxa" w:w="650"/>
            <w:tcMar>
              <w:top w:w="35" w:type="dxa"/>
              <w:start w:w="20" w:type="dxa"/>
              <w:bottom w:w="35" w:type="dxa"/>
              <w:end w:w="20" w:type="dxa"/>
            </w:tcMar>
            <w:vAlign w:val="center"/>
            <w:shd w:fill="E5E7EB"/>
          </w:tcPr>
          <w:p>
            <w:pPr>
              <w:jc w:val="center"/>
            </w:pPr>
            <w:r>
              <w:rPr>
                <w:rFonts w:ascii="Times New Roman" w:hAnsi="Times New Roman"/>
                <w:b/>
                <w:i w:val="0"/>
                <w:color w:val="000000"/>
                <w:sz w:val="14"/>
              </w:rPr>
              <w:t>P</w:t>
            </w:r>
          </w:p>
        </w:tc>
        <w:tc>
          <w:tcPr>
            <w:tcW w:type="dxa" w:w="650"/>
            <w:tcMar>
              <w:top w:w="35" w:type="dxa"/>
              <w:start w:w="20" w:type="dxa"/>
              <w:bottom w:w="35" w:type="dxa"/>
              <w:end w:w="20" w:type="dxa"/>
            </w:tcMar>
            <w:vAlign w:val="center"/>
            <w:shd w:fill="E5E7EB"/>
          </w:tcPr>
          <w:p>
            <w:pPr>
              <w:jc w:val="center"/>
            </w:pPr>
            <w:r>
              <w:rPr>
                <w:rFonts w:ascii="Times New Roman" w:hAnsi="Times New Roman"/>
                <w:b/>
                <w:i w:val="0"/>
                <w:color w:val="000000"/>
                <w:sz w:val="14"/>
              </w:rPr>
              <w:t>R</w:t>
            </w:r>
          </w:p>
        </w:tc>
        <w:tc>
          <w:tcPr>
            <w:tcW w:type="dxa" w:w="650"/>
            <w:tcMar>
              <w:top w:w="35" w:type="dxa"/>
              <w:start w:w="20" w:type="dxa"/>
              <w:bottom w:w="35" w:type="dxa"/>
              <w:end w:w="20" w:type="dxa"/>
            </w:tcMar>
            <w:vAlign w:val="center"/>
            <w:shd w:fill="E5E7EB"/>
          </w:tcPr>
          <w:p>
            <w:pPr>
              <w:jc w:val="center"/>
            </w:pPr>
            <w:r>
              <w:rPr>
                <w:rFonts w:ascii="Times New Roman" w:hAnsi="Times New Roman"/>
                <w:b/>
                <w:i w:val="0"/>
                <w:color w:val="000000"/>
                <w:sz w:val="14"/>
              </w:rPr>
              <w:t>AP50</w:t>
            </w:r>
          </w:p>
        </w:tc>
        <w:tc>
          <w:tcPr>
            <w:tcW w:type="dxa" w:w="700"/>
            <w:tcMar>
              <w:top w:w="35" w:type="dxa"/>
              <w:start w:w="20" w:type="dxa"/>
              <w:bottom w:w="35" w:type="dxa"/>
              <w:end w:w="20" w:type="dxa"/>
            </w:tcMar>
            <w:vAlign w:val="center"/>
            <w:shd w:fill="E5E7EB"/>
          </w:tcPr>
          <w:p>
            <w:pPr>
              <w:jc w:val="center"/>
            </w:pPr>
            <w:r>
              <w:rPr>
                <w:rFonts w:ascii="Times New Roman" w:hAnsi="Times New Roman"/>
                <w:b/>
                <w:i w:val="0"/>
                <w:color w:val="000000"/>
                <w:sz w:val="14"/>
              </w:rPr>
              <w:t>AP</w:t>
            </w:r>
          </w:p>
        </w:tc>
        <w:tc>
          <w:tcPr>
            <w:tcW w:type="dxa" w:w="700"/>
            <w:tcMar>
              <w:top w:w="35" w:type="dxa"/>
              <w:start w:w="20" w:type="dxa"/>
              <w:bottom w:w="35" w:type="dxa"/>
              <w:end w:w="20" w:type="dxa"/>
            </w:tcMar>
            <w:vAlign w:val="center"/>
            <w:shd w:fill="E5E7EB"/>
          </w:tcPr>
          <w:p>
            <w:pPr>
              <w:jc w:val="center"/>
            </w:pPr>
            <w:r>
              <w:rPr>
                <w:rFonts w:ascii="Times New Roman" w:hAnsi="Times New Roman"/>
                <w:b/>
                <w:i w:val="0"/>
                <w:color w:val="000000"/>
                <w:sz w:val="14"/>
              </w:rPr>
              <w:t>Small R</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YOLOv8s e10</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0.541</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0.426</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0.426</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0.255</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0.428</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YOLOv8n e50</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0.496</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0.390</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0.378</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0.205</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0.384</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YOLOv8s full</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0.598</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0.487</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0.492</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0.293</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0.520</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Slim 0.4375</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0.571</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0.458</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0.458</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0.270</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0.496</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Distilled slim</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0.572</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0.464</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0.459</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0.270</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0.495</w:t>
            </w:r>
          </w:p>
        </w:tc>
      </w:tr>
    </w:tbl>
    <w:p>
      <w:pPr>
        <w:spacing w:after="40"/>
      </w:pPr>
    </w:p>
    <w:p>
      <w:pPr>
        <w:spacing w:before="0" w:after="40" w:line="240" w:lineRule="auto"/>
        <w:ind w:firstLine="202"/>
        <w:jc w:val="both"/>
      </w:pPr>
      <w:r>
        <w:rPr>
          <w:rFonts w:ascii="Times New Roman" w:hAnsi="Times New Roman"/>
          <w:b w:val="0"/>
          <w:i w:val="0"/>
          <w:color w:val="000000"/>
          <w:sz w:val="20"/>
        </w:rPr>
        <w:t>The MobileNet direction did not replace YOLO. The aerial MobileNetV3-FPN baseline obtained 0.1033 mAP50-95, 0.2205 small-object recall, and 78.1 FPS. Class-balanced focal loss, small anchors, and small-box weighting raised small-object recall to 0.2426 and heavy-occlusion recall from 0.1909 to 0.2239, but reduced mAP50-95 to 0.0996 and throughput to 73.4 FPS. The result is a recall-oriented ablation, not a superior deployment model.</w:t>
      </w:r>
    </w:p>
    <w:p>
      <w:pPr>
        <w:keepNext/>
        <w:spacing w:before="80" w:after="20"/>
      </w:pPr>
      <w:r>
        <w:rPr>
          <w:rFonts w:ascii="Times New Roman" w:hAnsi="Times New Roman"/>
          <w:b w:val="0"/>
          <w:i/>
          <w:color w:val="000000"/>
          <w:sz w:val="20"/>
        </w:rPr>
        <w:t>B. Single- and Multi-Object Tracking</w:t>
      </w:r>
    </w:p>
    <w:p>
      <w:pPr>
        <w:spacing w:before="0" w:after="40" w:line="240" w:lineRule="auto"/>
        <w:ind w:firstLine="202"/>
        <w:jc w:val="both"/>
      </w:pPr>
      <w:r>
        <w:rPr>
          <w:rFonts w:ascii="Times New Roman" w:hAnsi="Times New Roman"/>
          <w:b w:val="0"/>
          <w:i w:val="0"/>
          <w:color w:val="000000"/>
          <w:sz w:val="20"/>
        </w:rPr>
        <w:t>All image-based single-object trackers were evaluated on 123 UAV123 sequences. DaSiamRPN achieved the highest success AUC and precision, while KCF was the fastest but least accurate. CSRT occupied the middle operating point. The results support a learned Siamese tracker when robustness is more important than maximum throughput.</w:t>
      </w:r>
    </w:p>
    <w:p>
      <w:pPr>
        <w:keepNext/>
        <w:spacing w:before="80" w:after="20"/>
        <w:jc w:val="center"/>
      </w:pPr>
      <w:r>
        <w:rPr>
          <w:rFonts w:ascii="Times New Roman" w:hAnsi="Times New Roman"/>
          <w:b w:val="0"/>
          <w:i w:val="0"/>
          <w:color w:val="000000"/>
          <w:sz w:val="16"/>
        </w:rPr>
        <w:t>TABLE III</w:t>
      </w:r>
    </w:p>
    <w:p>
      <w:pPr>
        <w:keepNext/>
        <w:spacing w:after="40"/>
        <w:jc w:val="center"/>
      </w:pPr>
      <w:r>
        <w:rPr>
          <w:rFonts w:ascii="Times New Roman" w:hAnsi="Times New Roman"/>
          <w:b w:val="0"/>
          <w:i w:val="0"/>
          <w:color w:val="000000"/>
          <w:sz w:val="16"/>
        </w:rPr>
        <w:t>UAV123 SINGLE-OBJECT TRACKING</w:t>
      </w:r>
    </w:p>
    <w:tbl>
      <w:tblPr>
        <w:tblW w:type="dxa" w:w="4800"/>
        <w:jc w:val="center"/>
        <w:tblLayout w:type="fixed"/>
        <w:tblLook w:firstColumn="1" w:firstRow="1" w:lastColumn="0" w:lastRow="0" w:noHBand="0" w:noVBand="1" w:val="04A0"/>
      </w:tblPr>
      <w:tblGrid>
        <w:gridCol w:w="1450"/>
        <w:gridCol w:w="820"/>
        <w:gridCol w:w="820"/>
        <w:gridCol w:w="900"/>
        <w:gridCol w:w="810"/>
      </w:tblGrid>
      <w:tr>
        <w:tc>
          <w:tcPr>
            <w:tcW w:type="dxa" w:w="1450"/>
            <w:tcMar>
              <w:top w:w="35" w:type="dxa"/>
              <w:start w:w="20" w:type="dxa"/>
              <w:bottom w:w="35" w:type="dxa"/>
              <w:end w:w="20" w:type="dxa"/>
            </w:tcMar>
            <w:vAlign w:val="center"/>
            <w:shd w:fill="E5E7EB"/>
          </w:tcPr>
          <w:p>
            <w:pPr>
              <w:jc w:val="center"/>
            </w:pPr>
            <w:r>
              <w:rPr>
                <w:rFonts w:ascii="Times New Roman" w:hAnsi="Times New Roman"/>
                <w:b/>
                <w:i w:val="0"/>
                <w:color w:val="000000"/>
                <w:sz w:val="14"/>
              </w:rPr>
              <w:t>Tracker</w:t>
            </w:r>
          </w:p>
        </w:tc>
        <w:tc>
          <w:tcPr>
            <w:tcW w:type="dxa" w:w="820"/>
            <w:tcMar>
              <w:top w:w="35" w:type="dxa"/>
              <w:start w:w="20" w:type="dxa"/>
              <w:bottom w:w="35" w:type="dxa"/>
              <w:end w:w="20" w:type="dxa"/>
            </w:tcMar>
            <w:vAlign w:val="center"/>
            <w:shd w:fill="E5E7EB"/>
          </w:tcPr>
          <w:p>
            <w:pPr>
              <w:jc w:val="center"/>
            </w:pPr>
            <w:r>
              <w:rPr>
                <w:rFonts w:ascii="Times New Roman" w:hAnsi="Times New Roman"/>
                <w:b/>
                <w:i w:val="0"/>
                <w:color w:val="000000"/>
                <w:sz w:val="14"/>
              </w:rPr>
              <w:t>AUC</w:t>
            </w:r>
          </w:p>
        </w:tc>
        <w:tc>
          <w:tcPr>
            <w:tcW w:type="dxa" w:w="820"/>
            <w:tcMar>
              <w:top w:w="35" w:type="dxa"/>
              <w:start w:w="20" w:type="dxa"/>
              <w:bottom w:w="35" w:type="dxa"/>
              <w:end w:w="20" w:type="dxa"/>
            </w:tcMar>
            <w:vAlign w:val="center"/>
            <w:shd w:fill="E5E7EB"/>
          </w:tcPr>
          <w:p>
            <w:pPr>
              <w:jc w:val="center"/>
            </w:pPr>
            <w:r>
              <w:rPr>
                <w:rFonts w:ascii="Times New Roman" w:hAnsi="Times New Roman"/>
                <w:b/>
                <w:i w:val="0"/>
                <w:color w:val="000000"/>
                <w:sz w:val="14"/>
              </w:rPr>
              <w:t>P@20</w:t>
            </w:r>
          </w:p>
        </w:tc>
        <w:tc>
          <w:tcPr>
            <w:tcW w:type="dxa" w:w="900"/>
            <w:tcMar>
              <w:top w:w="35" w:type="dxa"/>
              <w:start w:w="20" w:type="dxa"/>
              <w:bottom w:w="35" w:type="dxa"/>
              <w:end w:w="20" w:type="dxa"/>
            </w:tcMar>
            <w:vAlign w:val="center"/>
            <w:shd w:fill="E5E7EB"/>
          </w:tcPr>
          <w:p>
            <w:pPr>
              <w:jc w:val="center"/>
            </w:pPr>
            <w:r>
              <w:rPr>
                <w:rFonts w:ascii="Times New Roman" w:hAnsi="Times New Roman"/>
                <w:b/>
                <w:i w:val="0"/>
                <w:color w:val="000000"/>
                <w:sz w:val="14"/>
              </w:rPr>
              <w:t>Mean IoU</w:t>
            </w:r>
          </w:p>
        </w:tc>
        <w:tc>
          <w:tcPr>
            <w:tcW w:type="dxa" w:w="810"/>
            <w:tcMar>
              <w:top w:w="35" w:type="dxa"/>
              <w:start w:w="20" w:type="dxa"/>
              <w:bottom w:w="35" w:type="dxa"/>
              <w:end w:w="20" w:type="dxa"/>
            </w:tcMar>
            <w:vAlign w:val="center"/>
            <w:shd w:fill="E5E7EB"/>
          </w:tcPr>
          <w:p>
            <w:pPr>
              <w:jc w:val="center"/>
            </w:pPr>
            <w:r>
              <w:rPr>
                <w:rFonts w:ascii="Times New Roman" w:hAnsi="Times New Roman"/>
                <w:b/>
                <w:i w:val="0"/>
                <w:color w:val="000000"/>
                <w:sz w:val="14"/>
              </w:rPr>
              <w:t>FPS</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DaSiamRPN</w:t>
            </w:r>
          </w:p>
        </w:tc>
        <w:tc>
          <w:tcPr>
            <w:tcW w:type="dxa" w:w="82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0.556</w:t>
            </w:r>
          </w:p>
        </w:tc>
        <w:tc>
          <w:tcPr>
            <w:tcW w:type="dxa" w:w="82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0.718</w:t>
            </w:r>
          </w:p>
        </w:tc>
        <w:tc>
          <w:tcPr>
            <w:tcW w:type="dxa" w:w="9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0.555</w:t>
            </w:r>
          </w:p>
        </w:tc>
        <w:tc>
          <w:tcPr>
            <w:tcW w:type="dxa" w:w="81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39.9</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CSRT</w:t>
            </w:r>
          </w:p>
        </w:tc>
        <w:tc>
          <w:tcPr>
            <w:tcW w:type="dxa" w:w="82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0.417</w:t>
            </w:r>
          </w:p>
        </w:tc>
        <w:tc>
          <w:tcPr>
            <w:tcW w:type="dxa" w:w="82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0.624</w:t>
            </w:r>
          </w:p>
        </w:tc>
        <w:tc>
          <w:tcPr>
            <w:tcW w:type="dxa" w:w="9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0.416</w:t>
            </w:r>
          </w:p>
        </w:tc>
        <w:tc>
          <w:tcPr>
            <w:tcW w:type="dxa" w:w="81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54.0</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KCF</w:t>
            </w:r>
          </w:p>
        </w:tc>
        <w:tc>
          <w:tcPr>
            <w:tcW w:type="dxa" w:w="82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0.207</w:t>
            </w:r>
          </w:p>
        </w:tc>
        <w:tc>
          <w:tcPr>
            <w:tcW w:type="dxa" w:w="82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0.279</w:t>
            </w:r>
          </w:p>
        </w:tc>
        <w:tc>
          <w:tcPr>
            <w:tcW w:type="dxa" w:w="9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0.204</w:t>
            </w:r>
          </w:p>
        </w:tc>
        <w:tc>
          <w:tcPr>
            <w:tcW w:type="dxa" w:w="81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191.4</w:t>
            </w:r>
          </w:p>
        </w:tc>
      </w:tr>
    </w:tbl>
    <w:p>
      <w:pPr>
        <w:spacing w:after="40"/>
      </w:pPr>
    </w:p>
    <w:p>
      <w:pPr>
        <w:keepNext/>
        <w:spacing w:before="80" w:after="20"/>
        <w:jc w:val="center"/>
      </w:pPr>
      <w:r>
        <w:drawing>
          <wp:inline xmlns:a="http://schemas.openxmlformats.org/drawingml/2006/main" xmlns:pic="http://schemas.openxmlformats.org/drawingml/2006/picture">
            <wp:extent cx="3054096" cy="2137867"/>
            <wp:docPr id="3" name="Picture 3"/>
            <wp:cNvGraphicFramePr>
              <a:graphicFrameLocks noChangeAspect="1"/>
            </wp:cNvGraphicFramePr>
            <a:graphic>
              <a:graphicData uri="http://schemas.openxmlformats.org/drawingml/2006/picture">
                <pic:pic>
                  <pic:nvPicPr>
                    <pic:cNvPr id="0" name="tracker_comparison.png"/>
                    <pic:cNvPicPr/>
                  </pic:nvPicPr>
                  <pic:blipFill>
                    <a:blip r:embed="rId11"/>
                    <a:stretch>
                      <a:fillRect/>
                    </a:stretch>
                  </pic:blipFill>
                  <pic:spPr>
                    <a:xfrm>
                      <a:off x="0" y="0"/>
                      <a:ext cx="3054096" cy="2137867"/>
                    </a:xfrm>
                    <a:prstGeom prst="rect"/>
                  </pic:spPr>
                </pic:pic>
              </a:graphicData>
            </a:graphic>
          </wp:inline>
        </w:drawing>
      </w:r>
    </w:p>
    <w:p>
      <w:pPr>
        <w:spacing w:after="80"/>
        <w:jc w:val="both"/>
      </w:pPr>
      <w:r>
        <w:rPr>
          <w:rFonts w:ascii="Times New Roman" w:hAnsi="Times New Roman"/>
          <w:b w:val="0"/>
          <w:i w:val="0"/>
          <w:color w:val="000000"/>
          <w:sz w:val="16"/>
        </w:rPr>
        <w:t xml:space="preserve">Fig. 3. </w:t>
      </w:r>
      <w:r>
        <w:rPr>
          <w:rFonts w:ascii="Times New Roman" w:hAnsi="Times New Roman"/>
          <w:b w:val="0"/>
          <w:i w:val="0"/>
          <w:color w:val="000000"/>
          <w:sz w:val="16"/>
        </w:rPr>
        <w:t>Full UAV123 comparison of the three image-based single-object trackers.</w:t>
      </w:r>
    </w:p>
    <w:p>
      <w:pPr>
        <w:spacing w:before="0" w:after="40" w:line="240" w:lineRule="auto"/>
        <w:ind w:firstLine="202"/>
        <w:jc w:val="both"/>
      </w:pPr>
      <w:r>
        <w:rPr>
          <w:rFonts w:ascii="Times New Roman" w:hAnsi="Times New Roman"/>
          <w:b w:val="0"/>
          <w:i w:val="0"/>
          <w:color w:val="000000"/>
          <w:sz w:val="20"/>
        </w:rPr>
        <w:t>The final detector-to-ByteTrack pipeline processed 300 frames from UAV123 group1, produced 1,070 track rows and 10 unique IDs, and ran at 43.05 FPS with TensorRT FP16. Because this sequence lacks complete multi-object identity ground truth, track counts and throughput are reported without inventing MOTA, IDF1, or HOTA values.</w:t>
      </w:r>
    </w:p>
    <w:p>
      <w:pPr>
        <w:keepNext/>
        <w:spacing w:before="80" w:after="20"/>
        <w:jc w:val="center"/>
      </w:pPr>
      <w:r>
        <w:drawing>
          <wp:inline xmlns:a="http://schemas.openxmlformats.org/drawingml/2006/main" xmlns:pic="http://schemas.openxmlformats.org/drawingml/2006/picture">
            <wp:extent cx="3054096" cy="3230294"/>
            <wp:docPr id="4" name="Picture 4"/>
            <wp:cNvGraphicFramePr>
              <a:graphicFrameLocks noChangeAspect="1"/>
            </wp:cNvGraphicFramePr>
            <a:graphic>
              <a:graphicData uri="http://schemas.openxmlformats.org/drawingml/2006/picture">
                <pic:pic>
                  <pic:nvPicPr>
                    <pic:cNvPr id="0" name="qualitative_results.jpg"/>
                    <pic:cNvPicPr/>
                  </pic:nvPicPr>
                  <pic:blipFill>
                    <a:blip r:embed="rId12"/>
                    <a:stretch>
                      <a:fillRect/>
                    </a:stretch>
                  </pic:blipFill>
                  <pic:spPr>
                    <a:xfrm>
                      <a:off x="0" y="0"/>
                      <a:ext cx="3054096" cy="3230294"/>
                    </a:xfrm>
                    <a:prstGeom prst="rect"/>
                  </pic:spPr>
                </pic:pic>
              </a:graphicData>
            </a:graphic>
          </wp:inline>
        </w:drawing>
      </w:r>
    </w:p>
    <w:p>
      <w:pPr>
        <w:spacing w:after="80"/>
        <w:jc w:val="both"/>
      </w:pPr>
      <w:r>
        <w:rPr>
          <w:rFonts w:ascii="Times New Roman" w:hAnsi="Times New Roman"/>
          <w:b w:val="0"/>
          <w:i w:val="0"/>
          <w:color w:val="000000"/>
          <w:sz w:val="16"/>
        </w:rPr>
        <w:t xml:space="preserve">Fig. 4. </w:t>
      </w:r>
      <w:r>
        <w:rPr>
          <w:rFonts w:ascii="Times New Roman" w:hAnsi="Times New Roman"/>
          <w:b w:val="0"/>
          <w:i w:val="0"/>
          <w:color w:val="000000"/>
          <w:sz w:val="16"/>
        </w:rPr>
        <w:t>Real validation predictions and integrated tracking output produced by the implemented pipeline.</w:t>
      </w:r>
    </w:p>
    <w:p>
      <w:pPr>
        <w:keepNext/>
        <w:spacing w:before="120" w:after="60"/>
        <w:jc w:val="center"/>
      </w:pPr>
      <w:r>
        <w:rPr>
          <w:rFonts w:ascii="Times New Roman" w:hAnsi="Times New Roman"/>
          <w:b w:val="0"/>
          <w:i w:val="0"/>
          <w:smallCaps/>
          <w:color w:val="000000"/>
          <w:sz w:val="20"/>
        </w:rPr>
        <w:t>V.  SMALL-OBJECT AND DISTILLATION ABLATIONS</w:t>
      </w:r>
    </w:p>
    <w:p>
      <w:pPr>
        <w:keepNext/>
        <w:spacing w:before="80" w:after="20"/>
      </w:pPr>
      <w:r>
        <w:rPr>
          <w:rFonts w:ascii="Times New Roman" w:hAnsi="Times New Roman"/>
          <w:b w:val="0"/>
          <w:i/>
          <w:color w:val="000000"/>
          <w:sz w:val="20"/>
        </w:rPr>
        <w:t>A. Small-Object Interventions</w:t>
      </w:r>
    </w:p>
    <w:p>
      <w:pPr>
        <w:spacing w:before="0" w:after="40" w:line="240" w:lineRule="auto"/>
        <w:ind w:firstLine="202"/>
        <w:jc w:val="both"/>
      </w:pPr>
      <w:r>
        <w:rPr>
          <w:rFonts w:ascii="Times New Roman" w:hAnsi="Times New Roman"/>
          <w:b w:val="0"/>
          <w:i w:val="0"/>
          <w:color w:val="000000"/>
          <w:sz w:val="20"/>
        </w:rPr>
        <w:t>On the slim detector, multi-scale inference increased small-object recall from 0.4868 to 0.5907 at 20.98 FPS. SAHI reached 0.6456 small-object recall and 0.4888 mAP50, but throughput fell to 10.04 FPS. Focal loss raised recall to 0.5615 while slightly reducing mAP50-95. Image-level resampling produced 0.4861 recall, essentially no benefit. Thus SAHI is an offline accuracy mode, whereas standard inference remains the real-time mode.</w:t>
      </w:r>
    </w:p>
    <w:p>
      <w:pPr>
        <w:keepNext/>
        <w:spacing w:before="80" w:after="20"/>
        <w:jc w:val="center"/>
      </w:pPr>
      <w:r>
        <w:drawing>
          <wp:inline xmlns:a="http://schemas.openxmlformats.org/drawingml/2006/main" xmlns:pic="http://schemas.openxmlformats.org/drawingml/2006/picture">
            <wp:extent cx="3054096" cy="1717929"/>
            <wp:docPr id="5" name="Picture 5"/>
            <wp:cNvGraphicFramePr>
              <a:graphicFrameLocks noChangeAspect="1"/>
            </wp:cNvGraphicFramePr>
            <a:graphic>
              <a:graphicData uri="http://schemas.openxmlformats.org/drawingml/2006/picture">
                <pic:pic>
                  <pic:nvPicPr>
                    <pic:cNvPr id="0" name="small_object_tradeoff.png"/>
                    <pic:cNvPicPr/>
                  </pic:nvPicPr>
                  <pic:blipFill>
                    <a:blip r:embed="rId13"/>
                    <a:stretch>
                      <a:fillRect/>
                    </a:stretch>
                  </pic:blipFill>
                  <pic:spPr>
                    <a:xfrm>
                      <a:off x="0" y="0"/>
                      <a:ext cx="3054096" cy="1717929"/>
                    </a:xfrm>
                    <a:prstGeom prst="rect"/>
                  </pic:spPr>
                </pic:pic>
              </a:graphicData>
            </a:graphic>
          </wp:inline>
        </w:drawing>
      </w:r>
    </w:p>
    <w:p>
      <w:pPr>
        <w:spacing w:after="80"/>
        <w:jc w:val="both"/>
      </w:pPr>
      <w:r>
        <w:rPr>
          <w:rFonts w:ascii="Times New Roman" w:hAnsi="Times New Roman"/>
          <w:b w:val="0"/>
          <w:i w:val="0"/>
          <w:color w:val="000000"/>
          <w:sz w:val="16"/>
        </w:rPr>
        <w:t xml:space="preserve">Fig. 5. </w:t>
      </w:r>
      <w:r>
        <w:rPr>
          <w:rFonts w:ascii="Times New Roman" w:hAnsi="Times New Roman"/>
          <w:b w:val="0"/>
          <w:i w:val="0"/>
          <w:color w:val="000000"/>
          <w:sz w:val="16"/>
        </w:rPr>
        <w:t>Measured small-object recall and throughput for selected slim-detector ablations.</w:t>
      </w:r>
    </w:p>
    <w:p>
      <w:pPr>
        <w:keepNext/>
        <w:spacing w:before="80" w:after="20"/>
      </w:pPr>
      <w:r>
        <w:rPr>
          <w:rFonts w:ascii="Times New Roman" w:hAnsi="Times New Roman"/>
          <w:b w:val="0"/>
          <w:i/>
          <w:color w:val="000000"/>
          <w:sz w:val="20"/>
        </w:rPr>
        <w:t>B. Teacher-Student Distillation</w:t>
      </w:r>
    </w:p>
    <w:p>
      <w:pPr>
        <w:spacing w:before="0" w:after="40" w:line="240" w:lineRule="auto"/>
        <w:ind w:firstLine="202"/>
        <w:jc w:val="both"/>
      </w:pPr>
      <w:r>
        <w:rPr>
          <w:rFonts w:ascii="Times New Roman" w:hAnsi="Times New Roman"/>
          <w:b w:val="0"/>
          <w:i w:val="0"/>
          <w:color w:val="000000"/>
          <w:sz w:val="20"/>
        </w:rPr>
        <w:t>A full YOLOv8s teacher supervised aligned class logits and 16-bin bounding-box distributions from the slim student. The 20-epoch run preserved the student architecture. Recall increased from 0.4585 to 0.4640 and heavy-occlusion recall from 0.3611 to 0.3702 in the saved auxiliary group-recall summaries. However, mAP50-95 changed only from 0.2696 to 0.2699, and small-object recall changed from 0.4955 to 0.4953. Output-only distillation therefore helped occlusion modestly but did not transfer enough high-resolution feature information to improve tiny targets.</w:t>
      </w:r>
    </w:p>
    <w:p>
      <w:pPr>
        <w:keepNext/>
        <w:spacing w:before="80" w:after="20"/>
        <w:jc w:val="center"/>
      </w:pPr>
      <w:r>
        <w:drawing>
          <wp:inline xmlns:a="http://schemas.openxmlformats.org/drawingml/2006/main" xmlns:pic="http://schemas.openxmlformats.org/drawingml/2006/picture">
            <wp:extent cx="3054096" cy="2023232"/>
            <wp:docPr id="6" name="Picture 6"/>
            <wp:cNvGraphicFramePr>
              <a:graphicFrameLocks noChangeAspect="1"/>
            </wp:cNvGraphicFramePr>
            <a:graphic>
              <a:graphicData uri="http://schemas.openxmlformats.org/drawingml/2006/picture">
                <pic:pic>
                  <pic:nvPicPr>
                    <pic:cNvPr id="0" name="distillation_comparison.png"/>
                    <pic:cNvPicPr/>
                  </pic:nvPicPr>
                  <pic:blipFill>
                    <a:blip r:embed="rId14"/>
                    <a:stretch>
                      <a:fillRect/>
                    </a:stretch>
                  </pic:blipFill>
                  <pic:spPr>
                    <a:xfrm>
                      <a:off x="0" y="0"/>
                      <a:ext cx="3054096" cy="2023232"/>
                    </a:xfrm>
                    <a:prstGeom prst="rect"/>
                  </pic:spPr>
                </pic:pic>
              </a:graphicData>
            </a:graphic>
          </wp:inline>
        </w:drawing>
      </w:r>
    </w:p>
    <w:p>
      <w:pPr>
        <w:spacing w:after="80"/>
        <w:jc w:val="both"/>
      </w:pPr>
      <w:r>
        <w:rPr>
          <w:rFonts w:ascii="Times New Roman" w:hAnsi="Times New Roman"/>
          <w:b w:val="0"/>
          <w:i w:val="0"/>
          <w:color w:val="000000"/>
          <w:sz w:val="16"/>
        </w:rPr>
        <w:t xml:space="preserve">Fig. 6. </w:t>
      </w:r>
      <w:r>
        <w:rPr>
          <w:rFonts w:ascii="Times New Roman" w:hAnsi="Times New Roman"/>
          <w:b w:val="0"/>
          <w:i w:val="0"/>
          <w:color w:val="000000"/>
          <w:sz w:val="16"/>
        </w:rPr>
        <w:t>Teacher, slim baseline, and distilled slim comparison from saved evaluation summaries.</w:t>
      </w:r>
    </w:p>
    <w:p>
      <w:pPr>
        <w:keepNext/>
        <w:spacing w:before="120" w:after="60"/>
        <w:jc w:val="center"/>
      </w:pPr>
      <w:r>
        <w:rPr>
          <w:rFonts w:ascii="Times New Roman" w:hAnsi="Times New Roman"/>
          <w:b w:val="0"/>
          <w:i w:val="0"/>
          <w:smallCaps/>
          <w:color w:val="000000"/>
          <w:sz w:val="20"/>
        </w:rPr>
        <w:t>VI.  DEPLOYMENT RESULTS</w:t>
      </w:r>
    </w:p>
    <w:p>
      <w:pPr>
        <w:spacing w:before="0" w:after="40" w:line="240" w:lineRule="auto"/>
        <w:ind w:firstLine="202"/>
        <w:jc w:val="both"/>
      </w:pPr>
      <w:r>
        <w:rPr>
          <w:rFonts w:ascii="Times New Roman" w:hAnsi="Times New Roman"/>
          <w:b w:val="0"/>
          <w:i w:val="0"/>
          <w:color w:val="000000"/>
          <w:sz w:val="20"/>
        </w:rPr>
        <w:t>PyTorch checkpoints were exported to ONNX and checked against framework predictions before TensorRT engine construction. In the full 548-image engine validation, FP16 achieved 0.2700 mAP50-95 and 477.2 raw engine FPS. Bright-scene INT8 calibration was the best of three calibration sets but reached only 0.2467 mAP50-95 and 333.9 FPS. Restoring the detection head to FP16 recovered mAP50-95 to 0.2617, confirming that classification, DFL, and decode layers were quantization-sensitive, but the hybrid still underperformed full FP16.</w:t>
      </w:r>
    </w:p>
    <w:p>
      <w:pPr>
        <w:keepNext/>
        <w:spacing w:before="80" w:after="20"/>
        <w:jc w:val="center"/>
      </w:pPr>
      <w:r>
        <w:rPr>
          <w:rFonts w:ascii="Times New Roman" w:hAnsi="Times New Roman"/>
          <w:b w:val="0"/>
          <w:i w:val="0"/>
          <w:color w:val="000000"/>
          <w:sz w:val="16"/>
        </w:rPr>
        <w:t>TABLE IV</w:t>
      </w:r>
    </w:p>
    <w:p>
      <w:pPr>
        <w:keepNext/>
        <w:spacing w:after="40"/>
        <w:jc w:val="center"/>
      </w:pPr>
      <w:r>
        <w:rPr>
          <w:rFonts w:ascii="Times New Roman" w:hAnsi="Times New Roman"/>
          <w:b w:val="0"/>
          <w:i w:val="0"/>
          <w:color w:val="000000"/>
          <w:sz w:val="16"/>
        </w:rPr>
        <w:t>TENSORRT ACCURACY AND ENGINE THROUGHPUT (AP = MAP50-95)</w:t>
      </w:r>
    </w:p>
    <w:tbl>
      <w:tblPr>
        <w:tblW w:type="dxa" w:w="4800"/>
        <w:jc w:val="center"/>
        <w:tblLayout w:type="fixed"/>
        <w:tblLook w:firstColumn="1" w:firstRow="1" w:lastColumn="0" w:lastRow="0" w:noHBand="0" w:noVBand="1" w:val="04A0"/>
      </w:tblPr>
      <w:tblGrid>
        <w:gridCol w:w="1450"/>
        <w:gridCol w:w="650"/>
        <w:gridCol w:w="650"/>
        <w:gridCol w:w="650"/>
        <w:gridCol w:w="700"/>
        <w:gridCol w:w="700"/>
      </w:tblGrid>
      <w:tr>
        <w:tc>
          <w:tcPr>
            <w:tcW w:type="dxa" w:w="1450"/>
            <w:tcMar>
              <w:top w:w="35" w:type="dxa"/>
              <w:start w:w="20" w:type="dxa"/>
              <w:bottom w:w="35" w:type="dxa"/>
              <w:end w:w="20" w:type="dxa"/>
            </w:tcMar>
            <w:vAlign w:val="center"/>
            <w:shd w:fill="E5E7EB"/>
          </w:tcPr>
          <w:p>
            <w:pPr>
              <w:jc w:val="center"/>
            </w:pPr>
            <w:r>
              <w:rPr>
                <w:rFonts w:ascii="Times New Roman" w:hAnsi="Times New Roman"/>
                <w:b/>
                <w:i w:val="0"/>
                <w:color w:val="000000"/>
                <w:sz w:val="14"/>
              </w:rPr>
              <w:t>Engine</w:t>
            </w:r>
          </w:p>
        </w:tc>
        <w:tc>
          <w:tcPr>
            <w:tcW w:type="dxa" w:w="650"/>
            <w:tcMar>
              <w:top w:w="35" w:type="dxa"/>
              <w:start w:w="20" w:type="dxa"/>
              <w:bottom w:w="35" w:type="dxa"/>
              <w:end w:w="20" w:type="dxa"/>
            </w:tcMar>
            <w:vAlign w:val="center"/>
            <w:shd w:fill="E5E7EB"/>
          </w:tcPr>
          <w:p>
            <w:pPr>
              <w:jc w:val="center"/>
            </w:pPr>
            <w:r>
              <w:rPr>
                <w:rFonts w:ascii="Times New Roman" w:hAnsi="Times New Roman"/>
                <w:b/>
                <w:i w:val="0"/>
                <w:color w:val="000000"/>
                <w:sz w:val="14"/>
              </w:rPr>
              <w:t>P</w:t>
            </w:r>
          </w:p>
        </w:tc>
        <w:tc>
          <w:tcPr>
            <w:tcW w:type="dxa" w:w="650"/>
            <w:tcMar>
              <w:top w:w="35" w:type="dxa"/>
              <w:start w:w="20" w:type="dxa"/>
              <w:bottom w:w="35" w:type="dxa"/>
              <w:end w:w="20" w:type="dxa"/>
            </w:tcMar>
            <w:vAlign w:val="center"/>
            <w:shd w:fill="E5E7EB"/>
          </w:tcPr>
          <w:p>
            <w:pPr>
              <w:jc w:val="center"/>
            </w:pPr>
            <w:r>
              <w:rPr>
                <w:rFonts w:ascii="Times New Roman" w:hAnsi="Times New Roman"/>
                <w:b/>
                <w:i w:val="0"/>
                <w:color w:val="000000"/>
                <w:sz w:val="14"/>
              </w:rPr>
              <w:t>R</w:t>
            </w:r>
          </w:p>
        </w:tc>
        <w:tc>
          <w:tcPr>
            <w:tcW w:type="dxa" w:w="650"/>
            <w:tcMar>
              <w:top w:w="35" w:type="dxa"/>
              <w:start w:w="20" w:type="dxa"/>
              <w:bottom w:w="35" w:type="dxa"/>
              <w:end w:w="20" w:type="dxa"/>
            </w:tcMar>
            <w:vAlign w:val="center"/>
            <w:shd w:fill="E5E7EB"/>
          </w:tcPr>
          <w:p>
            <w:pPr>
              <w:jc w:val="center"/>
            </w:pPr>
            <w:r>
              <w:rPr>
                <w:rFonts w:ascii="Times New Roman" w:hAnsi="Times New Roman"/>
                <w:b/>
                <w:i w:val="0"/>
                <w:color w:val="000000"/>
                <w:sz w:val="14"/>
              </w:rPr>
              <w:t>AP50</w:t>
            </w:r>
          </w:p>
        </w:tc>
        <w:tc>
          <w:tcPr>
            <w:tcW w:type="dxa" w:w="700"/>
            <w:tcMar>
              <w:top w:w="35" w:type="dxa"/>
              <w:start w:w="20" w:type="dxa"/>
              <w:bottom w:w="35" w:type="dxa"/>
              <w:end w:w="20" w:type="dxa"/>
            </w:tcMar>
            <w:vAlign w:val="center"/>
            <w:shd w:fill="E5E7EB"/>
          </w:tcPr>
          <w:p>
            <w:pPr>
              <w:jc w:val="center"/>
            </w:pPr>
            <w:r>
              <w:rPr>
                <w:rFonts w:ascii="Times New Roman" w:hAnsi="Times New Roman"/>
                <w:b/>
                <w:i w:val="0"/>
                <w:color w:val="000000"/>
                <w:sz w:val="14"/>
              </w:rPr>
              <w:t>AP</w:t>
            </w:r>
          </w:p>
        </w:tc>
        <w:tc>
          <w:tcPr>
            <w:tcW w:type="dxa" w:w="700"/>
            <w:tcMar>
              <w:top w:w="35" w:type="dxa"/>
              <w:start w:w="20" w:type="dxa"/>
              <w:bottom w:w="35" w:type="dxa"/>
              <w:end w:w="20" w:type="dxa"/>
            </w:tcMar>
            <w:vAlign w:val="center"/>
            <w:shd w:fill="E5E7EB"/>
          </w:tcPr>
          <w:p>
            <w:pPr>
              <w:jc w:val="center"/>
            </w:pPr>
            <w:r>
              <w:rPr>
                <w:rFonts w:ascii="Times New Roman" w:hAnsi="Times New Roman"/>
                <w:b/>
                <w:i w:val="0"/>
                <w:color w:val="000000"/>
                <w:sz w:val="14"/>
              </w:rPr>
              <w:t>Raw FPS</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FP16</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0.561</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0.466</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0.458</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0.270</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477.2</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INT8 bright</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0.541</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0.442</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0.433</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0.247</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333.9</w:t>
            </w:r>
          </w:p>
        </w:tc>
      </w:tr>
      <w:tr>
        <w:tc>
          <w:tcPr>
            <w:tcW w:type="dxa" w:w="1450"/>
            <w:vAlign w:val="center"/>
            <w:tcMar>
              <w:top w:w="35" w:type="dxa"/>
              <w:start w:w="20" w:type="dxa"/>
              <w:bottom w:w="35" w:type="dxa"/>
              <w:end w:w="20" w:type="dxa"/>
            </w:tcMar>
          </w:tcPr>
          <w:p>
            <w:pPr>
              <w:spacing w:after="0"/>
              <w:jc w:val="left"/>
            </w:pPr>
            <w:r>
              <w:rPr>
                <w:rFonts w:ascii="Times New Roman" w:hAnsi="Times New Roman"/>
                <w:b w:val="0"/>
                <w:i w:val="0"/>
                <w:color w:val="000000"/>
                <w:sz w:val="14"/>
              </w:rPr>
              <w:t>Head FP16</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0.557</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0.450</w:t>
            </w:r>
          </w:p>
        </w:tc>
        <w:tc>
          <w:tcPr>
            <w:tcW w:type="dxa" w:w="65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0.445</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0.262</w:t>
            </w:r>
          </w:p>
        </w:tc>
        <w:tc>
          <w:tcPr>
            <w:tcW w:type="dxa" w:w="700"/>
            <w:vAlign w:val="center"/>
            <w:tcMar>
              <w:top w:w="35" w:type="dxa"/>
              <w:start w:w="20" w:type="dxa"/>
              <w:bottom w:w="35" w:type="dxa"/>
              <w:end w:w="20" w:type="dxa"/>
            </w:tcMar>
          </w:tcPr>
          <w:p>
            <w:pPr>
              <w:spacing w:after="0"/>
              <w:jc w:val="center"/>
            </w:pPr>
            <w:r>
              <w:rPr>
                <w:rFonts w:ascii="Times New Roman" w:hAnsi="Times New Roman"/>
                <w:b w:val="0"/>
                <w:i w:val="0"/>
                <w:color w:val="000000"/>
                <w:sz w:val="14"/>
              </w:rPr>
              <w:t>361.6</w:t>
            </w:r>
          </w:p>
        </w:tc>
      </w:tr>
    </w:tbl>
    <w:p>
      <w:pPr>
        <w:spacing w:after="40"/>
      </w:pPr>
    </w:p>
    <w:p>
      <w:pPr>
        <w:spacing w:before="0" w:after="40" w:line="240" w:lineRule="auto"/>
        <w:ind w:firstLine="202"/>
        <w:jc w:val="both"/>
      </w:pPr>
      <w:r>
        <w:rPr>
          <w:rFonts w:ascii="Times New Roman" w:hAnsi="Times New Roman"/>
          <w:b w:val="0"/>
          <w:i w:val="0"/>
          <w:color w:val="000000"/>
          <w:sz w:val="20"/>
        </w:rPr>
        <w:t>An isolated end-to-end runtime benchmark, which includes the Ultralytics prediction path and post-processing, measured 91.7 FPS and 1175.9 MiB peak process RAM for TensorRT FP16. INT8 was both slower at 78.6 FPS and larger in memory at 1192.5 MiB. Adding ByteTrack reduced throughput to 63.8 FPS and increased peak RAM to 1215.0 MiB. The difference from raw engine FPS is expected because the end-to-end protocol includes preprocessing, result construction, NMS, and tracking.</w:t>
      </w:r>
    </w:p>
    <w:p>
      <w:pPr>
        <w:keepNext/>
        <w:spacing w:before="80" w:after="20"/>
        <w:jc w:val="center"/>
      </w:pPr>
      <w:r>
        <w:drawing>
          <wp:inline xmlns:a="http://schemas.openxmlformats.org/drawingml/2006/main" xmlns:pic="http://schemas.openxmlformats.org/drawingml/2006/picture">
            <wp:extent cx="3054096" cy="1717929"/>
            <wp:docPr id="7" name="Picture 7"/>
            <wp:cNvGraphicFramePr>
              <a:graphicFrameLocks noChangeAspect="1"/>
            </wp:cNvGraphicFramePr>
            <a:graphic>
              <a:graphicData uri="http://schemas.openxmlformats.org/drawingml/2006/picture">
                <pic:pic>
                  <pic:nvPicPr>
                    <pic:cNvPr id="0" name="deployment_tradeoff.png"/>
                    <pic:cNvPicPr/>
                  </pic:nvPicPr>
                  <pic:blipFill>
                    <a:blip r:embed="rId15"/>
                    <a:stretch>
                      <a:fillRect/>
                    </a:stretch>
                  </pic:blipFill>
                  <pic:spPr>
                    <a:xfrm>
                      <a:off x="0" y="0"/>
                      <a:ext cx="3054096" cy="1717929"/>
                    </a:xfrm>
                    <a:prstGeom prst="rect"/>
                  </pic:spPr>
                </pic:pic>
              </a:graphicData>
            </a:graphic>
          </wp:inline>
        </w:drawing>
      </w:r>
    </w:p>
    <w:p>
      <w:pPr>
        <w:spacing w:after="80"/>
        <w:jc w:val="both"/>
      </w:pPr>
      <w:r>
        <w:rPr>
          <w:rFonts w:ascii="Times New Roman" w:hAnsi="Times New Roman"/>
          <w:b w:val="0"/>
          <w:i w:val="0"/>
          <w:color w:val="000000"/>
          <w:sz w:val="16"/>
        </w:rPr>
        <w:t xml:space="preserve">Fig. 7. </w:t>
      </w:r>
      <w:r>
        <w:rPr>
          <w:rFonts w:ascii="Times New Roman" w:hAnsi="Times New Roman"/>
          <w:b w:val="0"/>
          <w:i w:val="0"/>
          <w:color w:val="000000"/>
          <w:sz w:val="16"/>
        </w:rPr>
        <w:t>TensorRT validation accuracy and end-to-end throughput. The two panels use their stated protocols.</w:t>
      </w:r>
    </w:p>
    <w:p>
      <w:pPr>
        <w:keepNext/>
        <w:spacing w:before="120" w:after="60"/>
        <w:jc w:val="center"/>
      </w:pPr>
      <w:r>
        <w:rPr>
          <w:rFonts w:ascii="Times New Roman" w:hAnsi="Times New Roman"/>
          <w:b w:val="0"/>
          <w:i w:val="0"/>
          <w:smallCaps/>
          <w:color w:val="000000"/>
          <w:sz w:val="20"/>
        </w:rPr>
        <w:t>VII.  DISCUSSION AND LIMITATIONS</w:t>
      </w:r>
    </w:p>
    <w:p>
      <w:pPr>
        <w:spacing w:before="0" w:after="40" w:line="240" w:lineRule="auto"/>
        <w:ind w:firstLine="202"/>
        <w:jc w:val="both"/>
      </w:pPr>
      <w:r>
        <w:rPr>
          <w:rFonts w:ascii="Times New Roman" w:hAnsi="Times New Roman"/>
          <w:b w:val="0"/>
          <w:i w:val="0"/>
          <w:color w:val="000000"/>
          <w:sz w:val="20"/>
        </w:rPr>
        <w:t>The experiments identify a stable hierarchy of constraints. First, spatial resolution dominates small-object recall: multi-scale and sliced inference gave the largest gains, but every gain required multiple forward passes. Second, moderate width reduction preserved much more accuracy than aggressive slimming, showing that recovery training cannot compensate for an undersized feature hierarchy. Third, tracking quality remained detector-dependent; ByteTrack made the pipeline usable, but its temporal accuracy cannot be claimed without identity-complete UAV ground truth. Fourth, reduced precision was hardware- and graph-dependent. INT8 did not automatically improve latency and was especially sensitive in the detection head.</w:t>
      </w:r>
    </w:p>
    <w:p>
      <w:pPr>
        <w:spacing w:before="0" w:after="40" w:line="240" w:lineRule="auto"/>
        <w:ind w:firstLine="202"/>
        <w:jc w:val="both"/>
      </w:pPr>
      <w:r>
        <w:rPr>
          <w:rFonts w:ascii="Times New Roman" w:hAnsi="Times New Roman"/>
          <w:b w:val="0"/>
          <w:i w:val="0"/>
          <w:color w:val="000000"/>
          <w:sz w:val="20"/>
        </w:rPr>
        <w:t>Several limitations bound the conclusions. All compute measurements were made on one laptop GPU rather than a Jetson-class target, and WDDM prevented reliable per-process VRAM attribution. VisDrone validation metrics are produced by project evaluators and are not official challenge-server test scores. Some ablation tables use different score-retention rules and are compared only internally. The current distillation loss operates on output distributions rather than ground-truth-masked P3 features. Finally, the multi-object demonstration measures engineering completeness and throughput, not MOTA or IDF1.</w:t>
      </w:r>
    </w:p>
    <w:p>
      <w:pPr>
        <w:keepNext/>
        <w:spacing w:before="120" w:after="60"/>
        <w:jc w:val="center"/>
      </w:pPr>
      <w:r>
        <w:rPr>
          <w:rFonts w:ascii="Times New Roman" w:hAnsi="Times New Roman"/>
          <w:b w:val="0"/>
          <w:i w:val="0"/>
          <w:smallCaps/>
          <w:color w:val="000000"/>
          <w:sz w:val="20"/>
        </w:rPr>
        <w:t>VIII.  CONCLUSION</w:t>
      </w:r>
    </w:p>
    <w:p>
      <w:pPr>
        <w:spacing w:before="0" w:after="40" w:line="240" w:lineRule="auto"/>
        <w:ind w:firstLine="202"/>
        <w:jc w:val="both"/>
      </w:pPr>
      <w:r>
        <w:rPr>
          <w:rFonts w:ascii="Times New Roman" w:hAnsi="Times New Roman"/>
          <w:b w:val="0"/>
          <w:i w:val="0"/>
          <w:color w:val="000000"/>
          <w:sz w:val="20"/>
        </w:rPr>
        <w:t>The completed system demonstrates a reproducible UAV perception workflow from data understanding to deployment. Full YOLOv8s provided the best detector accuracy, while the width-0.4375 student offered a useful storage-accuracy compromise. DaSiamRPN was the strongest evaluated single-object tracker, and ByteTrack enabled an integrated multi-object pipeline. SAHI substantially improved small-target recall but was not real-time. Knowledge distillation partially recovered occlusion recall without changing the student architecture. TensorRT FP16 was the final deployment choice because it outperformed the tested INT8 engines in accuracy, speed, and memory. Future work should evaluate P3 feature distillation, adaptive slicing, identity-labeled aerial MOT sequences, and sustained thermal performance on the actual embedded device.</w:t>
      </w:r>
    </w:p>
    <w:p>
      <w:pPr>
        <w:keepNext/>
        <w:spacing w:before="120" w:after="60"/>
        <w:jc w:val="center"/>
      </w:pPr>
      <w:r>
        <w:rPr>
          <w:rFonts w:ascii="Times New Roman" w:hAnsi="Times New Roman"/>
          <w:b w:val="0"/>
          <w:i w:val="0"/>
          <w:smallCaps/>
          <w:color w:val="000000"/>
          <w:sz w:val="20"/>
        </w:rPr>
        <w:t>REFERENCES</w:t>
      </w:r>
    </w:p>
    <w:p>
      <w:pPr>
        <w:spacing w:after="20" w:line="240" w:lineRule="auto"/>
        <w:ind w:hanging="259" w:left="259"/>
        <w:jc w:val="left"/>
      </w:pPr>
      <w:r>
        <w:rPr>
          <w:rFonts w:ascii="Times New Roman" w:hAnsi="Times New Roman"/>
          <w:b w:val="0"/>
          <w:i w:val="0"/>
          <w:color w:val="000000"/>
          <w:sz w:val="16"/>
        </w:rPr>
        <w:t>[1] P. Zhu, L. Wen, X. Bian, H. Ling, and Q. Hu, "Vision Meets Drones: A Challenge," arXiv:1804.07437, 2018.</w:t>
      </w:r>
    </w:p>
    <w:p>
      <w:pPr>
        <w:spacing w:after="20" w:line="240" w:lineRule="auto"/>
        <w:ind w:hanging="259" w:left="259"/>
        <w:jc w:val="left"/>
      </w:pPr>
      <w:r>
        <w:rPr>
          <w:rFonts w:ascii="Times New Roman" w:hAnsi="Times New Roman"/>
          <w:b w:val="0"/>
          <w:i w:val="0"/>
          <w:color w:val="000000"/>
          <w:sz w:val="16"/>
        </w:rPr>
        <w:t>[2] M. Mueller, N. Smith, and B. Ghanem, "A Benchmark and Simulator for UAV Tracking," in Proc. ECCV, 2016, pp. 445-461, doi: 10.1007/978-3-319-46448-0_27.</w:t>
      </w:r>
    </w:p>
    <w:p>
      <w:pPr>
        <w:spacing w:after="20" w:line="240" w:lineRule="auto"/>
        <w:ind w:hanging="259" w:left="259"/>
        <w:jc w:val="left"/>
      </w:pPr>
      <w:r>
        <w:rPr>
          <w:rFonts w:ascii="Times New Roman" w:hAnsi="Times New Roman"/>
          <w:b w:val="0"/>
          <w:i w:val="0"/>
          <w:color w:val="000000"/>
          <w:sz w:val="16"/>
        </w:rPr>
        <w:t>[3] G. Jocher, A. Chaurasia, and J. Qiu, "Ultralytics YOLOv8," version 8.0.0, software, 2023. [Online]. Available: https://github.com/ultralytics/ultralytics</w:t>
      </w:r>
    </w:p>
    <w:p>
      <w:pPr>
        <w:spacing w:after="20" w:line="240" w:lineRule="auto"/>
        <w:ind w:hanging="259" w:left="259"/>
        <w:jc w:val="left"/>
      </w:pPr>
      <w:r>
        <w:rPr>
          <w:rFonts w:ascii="Times New Roman" w:hAnsi="Times New Roman"/>
          <w:b w:val="0"/>
          <w:i w:val="0"/>
          <w:color w:val="000000"/>
          <w:sz w:val="16"/>
        </w:rPr>
        <w:t>[4] S. Ren, K. He, R. Girshick, and J. Sun, "Faster R-CNN: Towards Real-Time Object Detection with Region Proposal Networks," in Adv. Neural Inf. Process. Syst., vol. 28, 2015.</w:t>
      </w:r>
    </w:p>
    <w:p>
      <w:pPr>
        <w:spacing w:after="20" w:line="240" w:lineRule="auto"/>
        <w:ind w:hanging="259" w:left="259"/>
        <w:jc w:val="left"/>
      </w:pPr>
      <w:r>
        <w:rPr>
          <w:rFonts w:ascii="Times New Roman" w:hAnsi="Times New Roman"/>
          <w:b w:val="0"/>
          <w:i w:val="0"/>
          <w:color w:val="000000"/>
          <w:sz w:val="16"/>
        </w:rPr>
        <w:t>[5] T.-Y. Lin, P. Dollar, R. Girshick, K. He, B. Hariharan, and S. Belongie, "Feature Pyramid Networks for Object Detection," in Proc. IEEE CVPR, 2017, pp. 2117-2125.</w:t>
      </w:r>
    </w:p>
    <w:p>
      <w:pPr>
        <w:spacing w:after="20" w:line="240" w:lineRule="auto"/>
        <w:ind w:hanging="259" w:left="259"/>
        <w:jc w:val="left"/>
      </w:pPr>
      <w:r>
        <w:rPr>
          <w:rFonts w:ascii="Times New Roman" w:hAnsi="Times New Roman"/>
          <w:b w:val="0"/>
          <w:i w:val="0"/>
          <w:color w:val="000000"/>
          <w:sz w:val="16"/>
        </w:rPr>
        <w:t>[6] A. Howard et al., "Searching for MobileNetV3," in Proc. IEEE/CVF ICCV, 2019, pp. 1314-1324.</w:t>
      </w:r>
    </w:p>
    <w:p>
      <w:pPr>
        <w:spacing w:after="20" w:line="240" w:lineRule="auto"/>
        <w:ind w:hanging="259" w:left="259"/>
        <w:jc w:val="left"/>
      </w:pPr>
      <w:r>
        <w:rPr>
          <w:rFonts w:ascii="Times New Roman" w:hAnsi="Times New Roman"/>
          <w:b w:val="0"/>
          <w:i w:val="0"/>
          <w:color w:val="000000"/>
          <w:sz w:val="16"/>
        </w:rPr>
        <w:t>[7] T.-Y. Lin, P. Goyal, R. Girshick, K. He, and P. Dollar, "Focal Loss for Dense Object Detection," in Proc. IEEE ICCV, 2017, pp. 2980-2988.</w:t>
      </w:r>
    </w:p>
    <w:p>
      <w:pPr>
        <w:spacing w:after="20" w:line="240" w:lineRule="auto"/>
        <w:ind w:hanging="259" w:left="259"/>
        <w:jc w:val="left"/>
      </w:pPr>
      <w:r>
        <w:rPr>
          <w:rFonts w:ascii="Times New Roman" w:hAnsi="Times New Roman"/>
          <w:b w:val="0"/>
          <w:i w:val="0"/>
          <w:color w:val="000000"/>
          <w:sz w:val="16"/>
        </w:rPr>
        <w:t>[8] F. C. Akyon, S. O. Altinuc, and A. Temizel, "Slicing Aided Hyper Inference and Fine-Tuning for Small Object Detection," in Proc. IEEE ICIP, 2022, pp. 966-970, doi: 10.1109/ICIP46576.2022.9897990.</w:t>
      </w:r>
    </w:p>
    <w:p>
      <w:pPr>
        <w:spacing w:after="20" w:line="240" w:lineRule="auto"/>
        <w:ind w:hanging="259" w:left="259"/>
        <w:jc w:val="left"/>
      </w:pPr>
      <w:r>
        <w:rPr>
          <w:rFonts w:ascii="Times New Roman" w:hAnsi="Times New Roman"/>
          <w:b w:val="0"/>
          <w:i w:val="0"/>
          <w:color w:val="000000"/>
          <w:sz w:val="16"/>
        </w:rPr>
        <w:t>[9] Z. Zhu, Q. Wang, B. Li, W. Wu, J. Yan, and W. Hu, "Distractor-Aware Siamese Networks for Visual Object Tracking," in Proc. ECCV, 2018, pp. 101-117.</w:t>
      </w:r>
    </w:p>
    <w:p>
      <w:pPr>
        <w:spacing w:after="20" w:line="240" w:lineRule="auto"/>
        <w:ind w:hanging="259" w:left="259"/>
        <w:jc w:val="left"/>
      </w:pPr>
      <w:r>
        <w:rPr>
          <w:rFonts w:ascii="Times New Roman" w:hAnsi="Times New Roman"/>
          <w:b w:val="0"/>
          <w:i w:val="0"/>
          <w:color w:val="000000"/>
          <w:sz w:val="16"/>
        </w:rPr>
        <w:t>[10] A. Bewley, Z. Ge, L. Ott, F. Ramos, and B. Upcroft, "Simple Online and Realtime Tracking," in Proc. IEEE ICIP, 2016, pp. 3464-3468, doi: 10.1109/ICIP.2016.7533003.</w:t>
      </w:r>
    </w:p>
    <w:p>
      <w:pPr>
        <w:spacing w:after="20" w:line="240" w:lineRule="auto"/>
        <w:ind w:hanging="259" w:left="259"/>
        <w:jc w:val="left"/>
      </w:pPr>
      <w:r>
        <w:rPr>
          <w:rFonts w:ascii="Times New Roman" w:hAnsi="Times New Roman"/>
          <w:b w:val="0"/>
          <w:i w:val="0"/>
          <w:color w:val="000000"/>
          <w:sz w:val="16"/>
        </w:rPr>
        <w:t>[11] Y. Zhang et al., "ByteTrack: Multi-Object Tracking by Associating Every Detection Box," in Proc. ECCV, 2022, pp. 1-21, doi: 10.1007/978-3-031-20047-2_1.</w:t>
      </w:r>
    </w:p>
    <w:p>
      <w:pPr>
        <w:spacing w:after="20" w:line="240" w:lineRule="auto"/>
        <w:ind w:hanging="259" w:left="259"/>
        <w:jc w:val="left"/>
      </w:pPr>
      <w:r>
        <w:rPr>
          <w:rFonts w:ascii="Times New Roman" w:hAnsi="Times New Roman"/>
          <w:b w:val="0"/>
          <w:i w:val="0"/>
          <w:color w:val="000000"/>
          <w:sz w:val="16"/>
        </w:rPr>
        <w:t>[12] G. Hinton, O. Vinyals, and J. Dean, "Distilling the Knowledge in a Neural Network," arXiv:1503.02531, 2015.</w:t>
      </w:r>
    </w:p>
    <w:p>
      <w:pPr>
        <w:spacing w:after="20" w:line="240" w:lineRule="auto"/>
        <w:ind w:hanging="259" w:left="259"/>
        <w:jc w:val="left"/>
      </w:pPr>
      <w:r>
        <w:rPr>
          <w:rFonts w:ascii="Times New Roman" w:hAnsi="Times New Roman"/>
          <w:b w:val="0"/>
          <w:i w:val="0"/>
          <w:color w:val="000000"/>
          <w:sz w:val="16"/>
        </w:rPr>
        <w:t>[13] ONNX Working Group, "Open Neural Network Exchange Intermediate Representation Specification," version 1.23.0, 2026. [Online]. Available: https://onnx.ai/onnx/repo-docs/IR.html. Accessed: Jul. 28, 2026</w:t>
      </w:r>
    </w:p>
    <w:p>
      <w:pPr>
        <w:spacing w:after="20" w:line="240" w:lineRule="auto"/>
        <w:ind w:hanging="259" w:left="259"/>
        <w:jc w:val="left"/>
      </w:pPr>
      <w:r>
        <w:rPr>
          <w:rFonts w:ascii="Times New Roman" w:hAnsi="Times New Roman"/>
          <w:b w:val="0"/>
          <w:i w:val="0"/>
          <w:color w:val="000000"/>
          <w:sz w:val="16"/>
        </w:rPr>
        <w:t>[14] NVIDIA, "NVIDIA TensorRT Documentation," version 11.1.0, 2026. [Online]. Available: https://docs.nvidia.com/deeplearning/tensorrt/latest/. Accessed: Jul. 28, 2026</w:t>
      </w:r>
    </w:p>
    <w:p>
      <w:pPr>
        <w:spacing w:after="20" w:line="240" w:lineRule="auto"/>
        <w:ind w:hanging="259" w:left="259"/>
        <w:jc w:val="left"/>
      </w:pPr>
      <w:r>
        <w:rPr>
          <w:rFonts w:ascii="Times New Roman" w:hAnsi="Times New Roman"/>
          <w:b w:val="0"/>
          <w:i w:val="0"/>
          <w:color w:val="000000"/>
          <w:sz w:val="16"/>
        </w:rPr>
        <w:t>[15] T.-Y. Lin et al., "Microsoft COCO: Common Objects in Context," in Proc. ECCV, 2014, pp. 740-755.</w:t>
      </w:r>
    </w:p>
    <w:p>
      <w:pPr>
        <w:spacing w:after="20" w:line="240" w:lineRule="auto"/>
        <w:ind w:hanging="259" w:left="259"/>
        <w:jc w:val="left"/>
      </w:pPr>
      <w:r>
        <w:rPr>
          <w:rFonts w:ascii="Times New Roman" w:hAnsi="Times New Roman"/>
          <w:b w:val="0"/>
          <w:i w:val="0"/>
          <w:color w:val="000000"/>
          <w:sz w:val="16"/>
        </w:rPr>
        <w:t>[16] J. F. Henriques, R. Caseiro, P. Martins, and J. Batista, "High-Speed Tracking with Kernelized Correlation Filters," IEEE Trans. Pattern Anal. Mach. Intell., vol. 37, no. 3, pp. 583-596, 2015, doi: 10.1109/TPAMI.2014.2345390.</w:t>
      </w:r>
    </w:p>
    <w:p>
      <w:pPr>
        <w:spacing w:after="20" w:line="240" w:lineRule="auto"/>
        <w:ind w:hanging="259" w:left="259"/>
        <w:jc w:val="left"/>
      </w:pPr>
      <w:r>
        <w:rPr>
          <w:rFonts w:ascii="Times New Roman" w:hAnsi="Times New Roman"/>
          <w:b w:val="0"/>
          <w:i w:val="0"/>
          <w:color w:val="000000"/>
          <w:sz w:val="16"/>
        </w:rPr>
        <w:t>[17] A. Lukezic, T. Vojir, L. Cehovin Zajc, J. Matas, and M. Kristan, "Discriminative Correlation Filter with Channel and Spatial Reliability," in Proc. IEEE CVPR, 2017, pp. 6309-6318.</w:t>
      </w:r>
    </w:p>
    <w:p>
      <w:pPr>
        <w:sectPr>
          <w:type w:val="continuous"/>
          <w:pgSz w:w="11909" w:h="16834"/>
          <w:pgMar w:top="1080" w:right="893" w:bottom="1440" w:left="893" w:header="288" w:footer="576" w:gutter="0"/>
          <w:cols w:space="360" w:num="2"/>
          <w:docGrid w:linePitch="360"/>
        </w:sectPr>
      </w:pPr>
    </w:p>
    <w:sectPr w:rsidR="00FC693F" w:rsidRPr="0006063C" w:rsidSect="00034616">
      <w:type w:val="continuous"/>
      <w:pgSz w:w="11909" w:h="16834"/>
      <w:pgMar w:top="1080" w:right="893" w:bottom="1440" w:left="893" w:header="288" w:footer="576"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202"/>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End-to-End Lightweight Detection and Tracking Pipeline for UAV Imagery</dc:title>
  <dc:subject>VisDrone detection, UAV123 tracking, model compression, and TensorRT deployment</dc:subject>
  <dc:creator>Yukun Shi</dc:creator>
  <cp:keywords>UAV vision, object detection, object tracking, small objects, TensorRT, knowledge distillation</cp:keywords>
  <dc:description>All reported experimental values are generated from saved project results.</dc:description>
  <cp:lastModifiedBy/>
  <cp:revision>1</cp:revision>
  <dcterms:created xsi:type="dcterms:W3CDTF">2013-12-23T23:15:00Z</dcterms:created>
  <dcterms:modified xsi:type="dcterms:W3CDTF">2013-12-23T23:15:00Z</dcterms:modified>
  <cp:category/>
</cp:coreProperties>
</file>