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CHI PHÍ PHÁT TRIỂN PHẦN MỀM NỘI BỘ</w:t>
      </w:r>
    </w:p>
    <w:p>
      <w:pPr>
        <w:spacing w:after="350"/>
        <w:jc w:val="center"/>
      </w:pPr>
      <w:r>
        <w:rPr>
          <w:rFonts w:ascii="Be Vietnam Pro" w:cs="Be Vietnam Pro" w:eastAsia="Be Vietnam Pro" w:hAnsi="Be Vietnam Pro"/>
          <w:i/>
          <w:iCs/>
          <w:color w:val="4A5551"/>
          <w:sz w:val="24"/>
          <w:szCs w:val="24"/>
        </w:rPr>
        <w:t xml:space="preserve">Hồ sơ chi phí phát triển phần mềm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49"/>
        <w:gridCol w:w="6711"/>
      </w:tblGrid>
      <w:tr>
        <w:trPr>
          <w:tblHeader/>
        </w:trPr>
        <w:tc>
          <w:tcPr>
            <w:tcW w:type="dxa" w:w="2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00-6</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 — ba dự án DA1, DA2, DA3</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Kế toán — Công ty Bioscope</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DA1</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DA2</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do bộ phận Kế toán lập, phối hợp với bộ phận Phát triển phần mềm.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đích</w:t>
      </w:r>
    </w:p>
    <w:p>
      <w:pPr>
        <w:spacing w:after="130" w:line="300"/>
      </w:pPr>
      <w:r>
        <w:rPr>
          <w:rFonts w:ascii="Be Vietnam Pro" w:cs="Be Vietnam Pro" w:eastAsia="Be Vietnam Pro" w:hAnsi="Be Vietnam Pro"/>
          <w:color w:val="101814"/>
          <w:sz w:val="21"/>
          <w:szCs w:val="21"/>
        </w:rPr>
        <w:t xml:space="preserve">Hồ sơ kỹ thuật ở các tài liệu khác chứng minh </w:t>
      </w:r>
      <w:r>
        <w:rPr>
          <w:rFonts w:ascii="Be Vietnam Pro" w:cs="Be Vietnam Pro" w:eastAsia="Be Vietnam Pro" w:hAnsi="Be Vietnam Pro"/>
          <w:b/>
          <w:bCs/>
          <w:color w:val="101814"/>
          <w:sz w:val="21"/>
          <w:szCs w:val="21"/>
        </w:rPr>
        <w:t xml:space="preserve">phần mềm được tạo ra như thế nào</w:t>
      </w:r>
      <w:r>
        <w:rPr>
          <w:rFonts w:ascii="Be Vietnam Pro" w:cs="Be Vietnam Pro" w:eastAsia="Be Vietnam Pro" w:hAnsi="Be Vietnam Pro"/>
          <w:color w:val="101814"/>
          <w:sz w:val="21"/>
          <w:szCs w:val="21"/>
        </w:rPr>
        <w:t xml:space="preserve">. Tài liệu này chứng minh </w:t>
      </w:r>
      <w:r>
        <w:rPr>
          <w:rFonts w:ascii="Be Vietnam Pro" w:cs="Be Vietnam Pro" w:eastAsia="Be Vietnam Pro" w:hAnsi="Be Vietnam Pro"/>
          <w:b/>
          <w:bCs/>
          <w:color w:val="101814"/>
          <w:sz w:val="21"/>
          <w:szCs w:val="21"/>
        </w:rPr>
        <w:t xml:space="preserve">công ty đã bỏ ra chi phí gì để tạo ra nó</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Hai loại bằng chứng này bổ sung cho nhau và </w:t>
      </w:r>
      <w:r>
        <w:rPr>
          <w:rFonts w:ascii="Be Vietnam Pro" w:cs="Be Vietnam Pro" w:eastAsia="Be Vietnam Pro" w:hAnsi="Be Vietnam Pro"/>
          <w:b/>
          <w:bCs/>
          <w:color w:val="101814"/>
          <w:sz w:val="21"/>
          <w:szCs w:val="21"/>
        </w:rPr>
        <w:t xml:space="preserve">thiếu một loại thì loại kia mất phần lớn giá trị</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kỹ thuật</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chi phí</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có người viết phần mềm, nhưng không chứng minh công ty trả tiền cho việc đó</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có chi tiền, nhưng không chứng minh tiền đó tạo ra phần mềm này</w:t>
            </w:r>
          </w:p>
        </w:tc>
      </w:tr>
    </w:tbl>
    <w:p>
      <w:pPr>
        <w:spacing w:after="180"/>
      </w:pPr>
    </w:p>
    <w:p>
      <w:pPr>
        <w:spacing w:after="130" w:line="300"/>
      </w:pPr>
      <w:r>
        <w:rPr>
          <w:rFonts w:ascii="Be Vietnam Pro" w:cs="Be Vietnam Pro" w:eastAsia="Be Vietnam Pro" w:hAnsi="Be Vietnam Pro"/>
          <w:color w:val="101814"/>
          <w:sz w:val="21"/>
          <w:szCs w:val="21"/>
        </w:rPr>
        <w:t xml:space="preserve">Ghép hai lại mới thành một bộ hồ sơ đứng vững.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Cấu trúc chi phí</w:t>
      </w:r>
    </w:p>
    <w:p>
      <w:pPr>
        <w:spacing w:after="130" w:line="300"/>
      </w:pPr>
      <w:r>
        <w:rPr>
          <w:rFonts w:ascii="Be Vietnam Pro" w:cs="Be Vietnam Pro" w:eastAsia="Be Vietnam Pro" w:hAnsi="Be Vietnam Pro"/>
          <w:color w:val="101814"/>
          <w:sz w:val="21"/>
          <w:szCs w:val="21"/>
        </w:rPr>
        <w:t xml:space="preserve">Chi phí phát triển phần mềm nội bộ gồm bốn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3"/>
        <w:gridCol w:w="4094"/>
        <w:gridCol w:w="3803"/>
      </w:tblGrid>
      <w:tr>
        <w:trPr>
          <w:tblHeader/>
        </w:trPr>
        <w:tc>
          <w:tcPr>
            <w:tcW w:type="dxa" w:w="14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 gốc</w:t>
            </w:r>
          </w:p>
        </w:tc>
      </w:tr>
      <w:tr>
        <w:trPr>
          <w:tblHeader w:val="false"/>
        </w:trPr>
        <w:tc>
          <w:tcPr>
            <w:tcW w:type="dxa" w:w="14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Nhân công</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Lương, thưởng, bảo hiểm của người tham gia phát triển</w:t>
            </w:r>
          </w:p>
        </w:tc>
        <w:tc>
          <w:tcPr>
            <w:tcW w:type="dxa" w:w="38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chứng từ chi trả, chứng từ đóng bảo hiểm</w:t>
            </w:r>
          </w:p>
        </w:tc>
      </w:tr>
      <w:tr>
        <w:trPr>
          <w:tblHeader w:val="false"/>
        </w:trPr>
        <w:tc>
          <w:tcPr>
            <w:tcW w:type="dxa" w:w="14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 Hạ tầng</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tên miền, dịch vụ lưu trữ</w:t>
            </w:r>
          </w:p>
        </w:tc>
        <w:tc>
          <w:tcPr>
            <w:tcW w:type="dxa" w:w="38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 Dịch vụ bên ngoài</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 dịch vụ nhận dạng chữ, nền tảng nhắn tin</w:t>
            </w:r>
          </w:p>
        </w:tc>
        <w:tc>
          <w:tcPr>
            <w:tcW w:type="dxa" w:w="38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 Công cụ</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dịch vụ lưu trữ mã nguồn</w:t>
            </w:r>
          </w:p>
        </w:tc>
        <w:tc>
          <w:tcPr>
            <w:tcW w:type="dxa" w:w="38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spacing w:after="130" w:line="300"/>
      </w:pPr>
      <w:r>
        <w:rPr>
          <w:rFonts w:ascii="Be Vietnam Pro" w:cs="Be Vietnam Pro" w:eastAsia="Be Vietnam Pro" w:hAnsi="Be Vietnam Pro"/>
          <w:color w:val="101814"/>
          <w:sz w:val="21"/>
          <w:szCs w:val="21"/>
        </w:rPr>
        <w:t xml:space="preserve">Nhóm A thường chiếm phần lớn và cũng là nhóm quan trọng nhất về mặt chứng minh </w:t>
      </w:r>
      <w:r>
        <w:rPr>
          <w:rFonts w:ascii="Be Vietnam Pro" w:cs="Be Vietnam Pro" w:eastAsia="Be Vietnam Pro" w:hAnsi="Be Vietnam Pro"/>
          <w:b/>
          <w:bCs/>
          <w:color w:val="101814"/>
          <w:sz w:val="21"/>
          <w:szCs w:val="21"/>
        </w:rPr>
        <w:t xml:space="preserve">tự phát triển</w:t>
      </w:r>
      <w:r>
        <w:rPr>
          <w:rFonts w:ascii="Be Vietnam Pro" w:cs="Be Vietnam Pro" w:eastAsia="Be Vietnam Pro" w:hAnsi="Be Vietnam Pro"/>
          <w:color w:val="101814"/>
          <w:sz w:val="21"/>
          <w:szCs w:val="21"/>
        </w:rPr>
        <w:t xml:space="preserve"> — nó gắn trực tiếp với nhân sự của công ty.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Nhóm A — Chi phí nhân công</w:t>
      </w:r>
    </w:p>
    <w:p>
      <w:pPr>
        <w:pStyle w:val="Heading2"/>
        <w:spacing w:after="120" w:before="280"/>
      </w:pPr>
      <w:r>
        <w:rPr>
          <w:rFonts w:ascii="Be Vietnam Pro" w:cs="Be Vietnam Pro" w:eastAsia="Be Vietnam Pro" w:hAnsi="Be Vietnam Pro"/>
          <w:b/>
          <w:bCs/>
          <w:color w:val="008E4D"/>
          <w:sz w:val="24"/>
          <w:szCs w:val="24"/>
        </w:rPr>
        <w:t xml:space="preserve">3.1 Bảng phân bổ theo dự án và thời gian</w:t>
      </w:r>
    </w:p>
    <w:p>
      <w:pPr>
        <w:spacing w:after="130" w:line="300"/>
      </w:pPr>
      <w:r>
        <w:rPr>
          <w:rFonts w:ascii="Be Vietnam Pro" w:cs="Be Vietnam Pro" w:eastAsia="Be Vietnam Pro" w:hAnsi="Be Vietnam Pro"/>
          <w:color w:val="101814"/>
          <w:sz w:val="21"/>
          <w:szCs w:val="21"/>
        </w:rPr>
        <w:t xml:space="preserve">Chi phí nhân công phân bổ theo </w:t>
      </w:r>
      <w:r>
        <w:rPr>
          <w:rFonts w:ascii="Be Vietnam Pro" w:cs="Be Vietnam Pro" w:eastAsia="Be Vietnam Pro" w:hAnsi="Be Vietnam Pro"/>
          <w:b/>
          <w:bCs/>
          <w:color w:val="101814"/>
          <w:sz w:val="21"/>
          <w:szCs w:val="21"/>
        </w:rPr>
        <w:t xml:space="preserve">thời gian thực tế</w:t>
      </w:r>
      <w:r>
        <w:rPr>
          <w:rFonts w:ascii="Be Vietnam Pro" w:cs="Be Vietnam Pro" w:eastAsia="Be Vietnam Pro" w:hAnsi="Be Vietnam Pro"/>
          <w:color w:val="101814"/>
          <w:sz w:val="21"/>
          <w:szCs w:val="21"/>
        </w:rPr>
        <w:t xml:space="preserve"> từng người dành cho từng dự án. Mốc thời gian lấy từ lịch sử ghi nhận thay đổi trong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2833"/>
        <w:gridCol w:w="3325"/>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8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Khoảng thời gian</w:t>
            </w:r>
          </w:p>
        </w:tc>
        <w:tc>
          <w:tcPr>
            <w:tcW w:type="dxa" w:w="3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r>
              <w:rPr>
                <w:rFonts w:ascii="Be Vietnam Pro" w:cs="Be Vietnam Pro" w:eastAsia="Be Vietnam Pro" w:hAnsi="Be Vietnam Pro"/>
                <w:color w:val="101814"/>
                <w:sz w:val="20"/>
                <w:szCs w:val="20"/>
              </w:rPr>
              <w:t xml:space="preserve"> — Chatbot AI đa kênh</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r>
              <w:rPr>
                <w:rFonts w:ascii="Be Vietnam Pro" w:cs="Be Vietnam Pro" w:eastAsia="Be Vietnam Pro" w:hAnsi="Be Vietnam Pro"/>
                <w:color w:val="101814"/>
                <w:sz w:val="20"/>
                <w:szCs w:val="20"/>
              </w:rPr>
              <w:t xml:space="preserve"> — Website và CMS</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 </w:t>
            </w:r>
            <w:r>
              <w:rPr>
                <w:rFonts w:ascii="Be Vietnam Pro" w:cs="Be Vietnam Pro" w:eastAsia="Be Vietnam Pro" w:hAnsi="Be Vietnam Pro"/>
                <w:i/>
                <w:iCs/>
                <w:color w:val="101814"/>
                <w:sz w:val="20"/>
                <w:szCs w:val="20"/>
              </w:rPr>
              <w:t xml:space="preserve">(tới 31/08/2026)</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r>
              <w:rPr>
                <w:rFonts w:ascii="Be Vietnam Pro" w:cs="Be Vietnam Pro" w:eastAsia="Be Vietnam Pro" w:hAnsi="Be Vietnam Pro"/>
                <w:color w:val="101814"/>
                <w:sz w:val="20"/>
                <w:szCs w:val="20"/>
              </w:rPr>
              <w:t xml:space="preserve"> — AI chuẩn hoá dữ liệu</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 </w:t>
            </w:r>
            <w:r>
              <w:rPr>
                <w:rFonts w:ascii="Be Vietnam Pro" w:cs="Be Vietnam Pro" w:eastAsia="Be Vietnam Pro" w:hAnsi="Be Vietnam Pro"/>
                <w:i/>
                <w:iCs/>
                <w:color w:val="101814"/>
                <w:sz w:val="20"/>
                <w:szCs w:val="20"/>
              </w:rPr>
              <w:t xml:space="preserve">(tới 31/08/2026)</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DA1 và DA2 chạy song song, dùng chung kho mã nguồn.</w:t>
            </w:r>
            <w:r>
              <w:rPr>
                <w:rFonts w:ascii="Be Vietnam Pro" w:cs="Be Vietnam Pro" w:eastAsia="Be Vietnam Pro" w:hAnsi="Be Vietnam Pro"/>
                <w:color w:val="101814"/>
                <w:sz w:val="20"/>
                <w:szCs w:val="20"/>
              </w:rPr>
              <w:t xml:space="preserve"> Phân bổ chi phí giữa hai dự án này cần một căn cứ khách quan — xem mục 3.3.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Bảng kê chi phí nhân công</w:t>
      </w:r>
    </w:p>
    <w:p>
      <w:pPr>
        <w:spacing w:after="130" w:line="300"/>
      </w:pPr>
      <w:r>
        <w:rPr>
          <w:rFonts w:ascii="Be Vietnam Pro" w:cs="Be Vietnam Pro" w:eastAsia="Be Vietnam Pro" w:hAnsi="Be Vietnam Pro"/>
          <w:i/>
          <w:iCs/>
          <w:color w:val="101814"/>
          <w:sz w:val="21"/>
          <w:szCs w:val="21"/>
        </w:rPr>
        <w:t xml:space="preserve">(Bộ phận Kế toán điền, đối chiếu với bảng lương)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729"/>
        <w:gridCol w:w="1094"/>
        <w:gridCol w:w="1094"/>
        <w:gridCol w:w="1823"/>
        <w:gridCol w:w="1517"/>
        <w:gridCol w:w="1823"/>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7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danh</w:t>
            </w:r>
          </w:p>
        </w:tc>
        <w:tc>
          <w:tcPr>
            <w:tcW w:type="dxa" w:w="1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82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Tỉ lệ thời gian</w:t>
            </w:r>
          </w:p>
        </w:tc>
        <w:tc>
          <w:tcPr>
            <w:tcW w:type="dxa" w:w="15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Lương + bảo hiểm</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phí phân bổ</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DA1</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Căn cứ phân bổ giữa DA1 và DA2</w:t>
      </w:r>
    </w:p>
    <w:p>
      <w:pPr>
        <w:spacing w:after="130" w:line="300"/>
      </w:pPr>
      <w:r>
        <w:rPr>
          <w:rFonts w:ascii="Be Vietnam Pro" w:cs="Be Vietnam Pro" w:eastAsia="Be Vietnam Pro" w:hAnsi="Be Vietnam Pro"/>
          <w:color w:val="101814"/>
          <w:sz w:val="21"/>
          <w:szCs w:val="21"/>
        </w:rPr>
        <w:t xml:space="preserve">DA1 và DA2 dùng chung kho mã nguồn nên cần căn cứ khách quan để tách chi phí. Đề xuất dùng </w:t>
      </w:r>
      <w:r>
        <w:rPr>
          <w:rFonts w:ascii="Be Vietnam Pro" w:cs="Be Vietnam Pro" w:eastAsia="Be Vietnam Pro" w:hAnsi="Be Vietnam Pro"/>
          <w:b/>
          <w:bCs/>
          <w:color w:val="101814"/>
          <w:sz w:val="21"/>
          <w:szCs w:val="21"/>
        </w:rPr>
        <w:t xml:space="preserve">khối lượng mã nguồn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404"/>
        <w:gridCol w:w="1724"/>
        <w:gridCol w:w="1232"/>
      </w:tblGrid>
      <w:tr>
        <w:trPr>
          <w:tblHeader/>
        </w:trPr>
        <w:tc>
          <w:tcPr>
            <w:tcW w:type="dxa" w:w="6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7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mã</w:t>
            </w:r>
          </w:p>
        </w:tc>
        <w:tc>
          <w:tcPr>
            <w:tcW w:type="dxa" w:w="1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Tỉ lệ</w:t>
            </w:r>
          </w:p>
        </w:tc>
      </w:tr>
      <w:tr>
        <w:trPr>
          <w:tblHeader w:val="false"/>
        </w:trPr>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17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92,4%</w:t>
            </w:r>
          </w:p>
        </w:tc>
      </w:tr>
      <w:tr>
        <w:trPr>
          <w:tblHeader w:val="false"/>
        </w:trPr>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17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7,6%</w:t>
            </w:r>
          </w:p>
        </w:tc>
      </w:tr>
      <w:tr>
        <w:trPr>
          <w:tblHeader w:val="false"/>
        </w:trPr>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w:t>
            </w:r>
          </w:p>
        </w:tc>
        <w:tc>
          <w:tcPr>
            <w:tcW w:type="dxa" w:w="17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~55.500</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Căn cứ này kiểm chứng được: đếm lại số dòng mã của các tệp thuộc từng dự án theo danh sách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7.</w:t>
      </w:r>
    </w:p>
    <w:p>
      <w:pPr>
        <w:spacing w:after="130" w:line="300"/>
      </w:pPr>
      <w:r>
        <w:rPr>
          <w:rFonts w:ascii="Be Vietnam Pro" w:cs="Be Vietnam Pro" w:eastAsia="Be Vietnam Pro" w:hAnsi="Be Vietnam Pro"/>
          <w:color w:val="101814"/>
          <w:sz w:val="21"/>
          <w:szCs w:val="21"/>
        </w:rPr>
        <w:t xml:space="preserve">Bộ phận Kế toán có thể chọn căn cứ khác (số ngày công ghi nhận, số lần ghi nhận thay đổi) nếu phù hợp hơn với cách hạch toán của công ty — miễn là </w:t>
      </w:r>
      <w:r>
        <w:rPr>
          <w:rFonts w:ascii="Be Vietnam Pro" w:cs="Be Vietnam Pro" w:eastAsia="Be Vietnam Pro" w:hAnsi="Be Vietnam Pro"/>
          <w:b/>
          <w:bCs/>
          <w:color w:val="101814"/>
          <w:sz w:val="21"/>
          <w:szCs w:val="21"/>
        </w:rPr>
        <w:t xml:space="preserve">căn cứ nhất quán và kiểm chứng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3.4 Chứng từ phải đính kèm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383"/>
        <w:gridCol w:w="2515"/>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3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c>
          <w:tcPr>
            <w:tcW w:type="dxa" w:w="25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 của từng người có tên</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các kỳ</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chi trả lương</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đối chiếu danh tính kỹ thuật ↔ nhân sự</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 + 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là mắt xích nối hai loại bằng chứng.</w:t>
            </w:r>
            <w:r>
              <w:rPr>
                <w:rFonts w:ascii="Be Vietnam Pro" w:cs="Be Vietnam Pro" w:eastAsia="Be Vietnam Pro" w:hAnsi="Be Vietnam Pro"/>
                <w:color w:val="101814"/>
                <w:sz w:val="20"/>
                <w:szCs w:val="20"/>
              </w:rPr>
              <w:t xml:space="preserve"> Nó nằm ở </w:t>
            </w:r>
            <w:r>
              <w:rPr>
                <w:rFonts w:ascii="Menlo" w:cs="Menlo" w:eastAsia="Menlo" w:hAnsi="Menlo"/>
                <w:color w:val="101814"/>
                <w:sz w:val="20"/>
                <w:szCs w:val="20"/>
                <w:shd w:fill="F1F5F3" w:color="auto" w:val="clear"/>
              </w:rPr>
              <w:t xml:space="preserve">00-1</w:t>
            </w:r>
            <w:r>
              <w:rPr>
                <w:rFonts w:ascii="Be Vietnam Pro" w:cs="Be Vietnam Pro" w:eastAsia="Be Vietnam Pro" w:hAnsi="Be Vietnam Pro"/>
                <w:color w:val="101814"/>
                <w:sz w:val="20"/>
                <w:szCs w:val="20"/>
              </w:rPr>
              <w:t xml:space="preserve"> mục 2, hiện </w:t>
            </w:r>
            <w:r>
              <w:rPr>
                <w:rFonts w:ascii="Be Vietnam Pro" w:cs="Be Vietnam Pro" w:eastAsia="Be Vietnam Pro" w:hAnsi="Be Vietnam Pro"/>
                <w:b/>
                <w:bCs/>
                <w:color w:val="101814"/>
                <w:sz w:val="20"/>
                <w:szCs w:val="20"/>
              </w:rPr>
              <w:t xml:space="preserve">chưa điền</w:t>
            </w:r>
            <w:r>
              <w:rPr>
                <w:rFonts w:ascii="Be Vietnam Pro" w:cs="Be Vietnam Pro" w:eastAsia="Be Vietnam Pro" w:hAnsi="Be Vietnam Pro"/>
                <w:color w:val="101814"/>
                <w:sz w:val="20"/>
                <w:szCs w:val="20"/>
              </w:rPr>
              <w:t xml:space="preserve">. Thiếu mục này thì bảng lương và lịch sử mã nguồn là hai bộ giấy tờ rời rạc, không nối được với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B — Chi phí hạ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13"/>
        <w:gridCol w:w="1413"/>
        <w:gridCol w:w="585"/>
        <w:gridCol w:w="1236"/>
        <w:gridCol w:w="1413"/>
      </w:tblGrid>
      <w:tr>
        <w:trPr>
          <w:tblHeader/>
        </w:trPr>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(DA1 + DA2)</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DA2</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(DA3)</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kho tài liệu</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Máy chủ dùng chung cho nhiều dự án</w:t>
      </w:r>
      <w:r>
        <w:rPr>
          <w:rFonts w:ascii="Be Vietnam Pro" w:cs="Be Vietnam Pro" w:eastAsia="Be Vietnam Pro" w:hAnsi="Be Vietnam Pro"/>
          <w:color w:val="101814"/>
          <w:sz w:val="21"/>
          <w:szCs w:val="21"/>
        </w:rPr>
        <w:t xml:space="preserve"> thì phân bổ theo tỉ lệ tài nguyên sử dụng, hoặc theo cùng căn cứ dùng cho nhân công. Ghi rõ căn cứ đã chọn.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C — Chi phí dịch vụ bên ngoài</w:t>
      </w:r>
    </w:p>
    <w:p>
      <w:pPr>
        <w:spacing w:after="130" w:line="300"/>
      </w:pPr>
      <w:r>
        <w:rPr>
          <w:rFonts w:ascii="Be Vietnam Pro" w:cs="Be Vietnam Pro" w:eastAsia="Be Vietnam Pro" w:hAnsi="Be Vietnam Pro"/>
          <w:color w:val="101814"/>
          <w:sz w:val="21"/>
          <w:szCs w:val="21"/>
        </w:rPr>
        <w:t xml:space="preserve">Đây là nhóm có </w:t>
      </w:r>
      <w:r>
        <w:rPr>
          <w:rFonts w:ascii="Be Vietnam Pro" w:cs="Be Vietnam Pro" w:eastAsia="Be Vietnam Pro" w:hAnsi="Be Vietnam Pro"/>
          <w:b/>
          <w:bCs/>
          <w:color w:val="101814"/>
          <w:sz w:val="21"/>
          <w:szCs w:val="21"/>
        </w:rPr>
        <w:t xml:space="preserve">bằng chứng đối chiếu tốt nhất</w:t>
      </w:r>
      <w:r>
        <w:rPr>
          <w:rFonts w:ascii="Be Vietnam Pro" w:cs="Be Vietnam Pro" w:eastAsia="Be Vietnam Pro" w:hAnsi="Be Vietnam Pro"/>
          <w:color w:val="101814"/>
          <w:sz w:val="21"/>
          <w:szCs w:val="21"/>
        </w:rPr>
        <w:t xml:space="preserve">, vì hệ thống tự ghi lại mức sử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93"/>
        <w:gridCol w:w="731"/>
        <w:gridCol w:w="3908"/>
        <w:gridCol w:w="1628"/>
      </w:tblGrid>
      <w:tr>
        <w:trPr>
          <w:tblHeader/>
        </w:trPr>
        <w:tc>
          <w:tcPr>
            <w:tcW w:type="dxa" w:w="30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 nội bộ</w:t>
            </w:r>
          </w:p>
        </w:tc>
        <w:tc>
          <w:tcPr>
            <w:tcW w:type="dxa" w:w="1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Bộ đếm trong từng công việc AI</w:t>
            </w:r>
            <w:r>
              <w:rPr>
                <w:rFonts w:ascii="Be Vietnam Pro" w:cs="Be Vietnam Pro" w:eastAsia="Be Vietnam Pro" w:hAnsi="Be Vietnam Pro"/>
                <w:color w:val="101814"/>
                <w:sz w:val="20"/>
                <w:szCs w:val="20"/>
              </w:rPr>
              <w:t xml:space="preserve">, có quy đổi tiền Việt</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trợ lý</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nhật ký AI</w:t>
            </w:r>
            <w:r>
              <w:rPr>
                <w:rFonts w:ascii="Be Vietnam Pro" w:cs="Be Vietnam Pro" w:eastAsia="Be Vietnam Pro" w:hAnsi="Be Vietnam Pro"/>
                <w:color w:val="101814"/>
                <w:sz w:val="20"/>
                <w:szCs w:val="20"/>
              </w:rPr>
              <w:t xml:space="preserve">, cột số đơn vị tiêu</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 nhắn tin</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5.1 Đối chiếu số liệu nội bộ với hoá đơn</w:t>
      </w:r>
    </w:p>
    <w:p>
      <w:pPr>
        <w:spacing w:after="130" w:line="300"/>
      </w:pPr>
      <w:r>
        <w:rPr>
          <w:rFonts w:ascii="Be Vietnam Pro" w:cs="Be Vietnam Pro" w:eastAsia="Be Vietnam Pro" w:hAnsi="Be Vietnam Pro"/>
          <w:color w:val="101814"/>
          <w:sz w:val="21"/>
          <w:szCs w:val="21"/>
        </w:rPr>
        <w:t xml:space="preserve">Hai dự án đều tự ghi chi phí, nên đối chiếu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lấy số liệu nội bộ</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chi phí (đồng) của các công việc AI trong kỳ — lệnh tra ở </w:t>
            </w:r>
            <w:r>
              <w:rPr>
                <w:rFonts w:ascii="Menlo" w:cs="Menlo" w:eastAsia="Menlo" w:hAnsi="Menlo"/>
                <w:color w:val="036F3D"/>
                <w:sz w:val="20"/>
                <w:szCs w:val="20"/>
                <w:shd w:fill="F1F5F3" w:color="auto" w:val="clear"/>
              </w:rPr>
              <w:t xml:space="preserve">DA2-10</w:t>
            </w:r>
            <w:r>
              <w:rPr>
                <w:rFonts w:ascii="Be Vietnam Pro" w:cs="Be Vietnam Pro" w:eastAsia="Be Vietnam Pro" w:hAnsi="Be Vietnam Pro"/>
                <w:color w:val="101814"/>
                <w:sz w:val="20"/>
                <w:szCs w:val="20"/>
              </w:rPr>
              <w:t xml:space="preserve"> mục D2</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số đơn vị tiêu trong bảng nhật ký AI — lệnh tra ở </w:t>
            </w:r>
            <w:r>
              <w:rPr>
                <w:rFonts w:ascii="Menlo" w:cs="Menlo" w:eastAsia="Menlo" w:hAnsi="Menlo"/>
                <w:color w:val="036F3D"/>
                <w:sz w:val="20"/>
                <w:szCs w:val="20"/>
                <w:shd w:fill="F1F5F3" w:color="auto" w:val="clear"/>
              </w:rPr>
              <w:t xml:space="preserve">DA3-10</w:t>
            </w:r>
            <w:r>
              <w:rPr>
                <w:rFonts w:ascii="Be Vietnam Pro" w:cs="Be Vietnam Pro" w:eastAsia="Be Vietnam Pro" w:hAnsi="Be Vietnam Pro"/>
                <w:color w:val="101814"/>
                <w:sz w:val="20"/>
                <w:szCs w:val="20"/>
              </w:rPr>
              <w:t xml:space="preserve"> mục F3</w:t>
            </w:r>
          </w:p>
        </w:tc>
      </w:tr>
    </w:tbl>
    <w:p>
      <w:pPr>
        <w:spacing w:after="180"/>
      </w:pPr>
    </w:p>
    <w:p>
      <w:pPr>
        <w:spacing w:after="130" w:line="300"/>
      </w:pPr>
      <w:r>
        <w:rPr>
          <w:rFonts w:ascii="Be Vietnam Pro" w:cs="Be Vietnam Pro" w:eastAsia="Be Vietnam Pro" w:hAnsi="Be Vietnam Pro"/>
          <w:b/>
          <w:bCs/>
          <w:color w:val="101814"/>
          <w:sz w:val="21"/>
          <w:szCs w:val="21"/>
        </w:rPr>
        <w:t xml:space="preserve">Ngưỡng chấp nhận: lệch dưới 10%.</w:t>
      </w:r>
      <w:r>
        <w:rPr>
          <w:rFonts w:ascii="Be Vietnam Pro" w:cs="Be Vietnam Pro" w:eastAsia="Be Vietnam Pro" w:hAnsi="Be Vietnam Pro"/>
          <w:color w:val="101814"/>
          <w:sz w:val="21"/>
          <w:szCs w:val="21"/>
        </w:rPr>
        <w:t xml:space="preserve"> Lệch nhiều hơn thì kiểm ba khả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38"/>
        <w:gridCol w:w="4822"/>
      </w:tblGrid>
      <w:tr>
        <w:trPr>
          <w:tblHeader/>
        </w:trPr>
        <w:tc>
          <w:tcPr>
            <w:tcW w:type="dxa" w:w="4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Khả năng</w:t>
            </w:r>
          </w:p>
        </w:tc>
        <w:tc>
          <w:tcPr>
            <w:tcW w:type="dxa" w:w="48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trong hệ thống lạc hậu</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cờ </w:t>
            </w:r>
            <w:r>
              <w:rPr>
                <w:rFonts w:ascii="Be Vietnam Pro" w:cs="Be Vietnam Pro" w:eastAsia="Be Vietnam Pro" w:hAnsi="Be Vietnam Pro"/>
                <w:i/>
                <w:iCs/>
                <w:color w:val="101814"/>
                <w:sz w:val="20"/>
                <w:szCs w:val="20"/>
              </w:rPr>
              <w:t xml:space="preserve">"đang dùng bảng giá dựng sẵn"</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dùng chung tài khoản nhà cung cấp</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tên ứng dụng trong bảng điều khiển nhà cung cấp</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lượt gọi ngoài hệ thống (thử nghiệm thủ công)</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Việc đối chiếu này chưa từng thực hiện.</w:t>
            </w:r>
            <w:r>
              <w:rPr>
                <w:rFonts w:ascii="Be Vietnam Pro" w:cs="Be Vietnam Pro" w:eastAsia="Be Vietnam Pro" w:hAnsi="Be Vietnam Pro"/>
                <w:color w:val="101814"/>
                <w:sz w:val="20"/>
                <w:szCs w:val="20"/>
              </w:rPr>
              <w:t xml:space="preserve"> Đã ghi vào danh sách việc còn lại ở </w:t>
            </w:r>
            <w:r>
              <w:rPr>
                <w:rFonts w:ascii="Menlo" w:cs="Menlo" w:eastAsia="Menlo" w:hAnsi="Menlo"/>
                <w:color w:val="101814"/>
                <w:sz w:val="20"/>
                <w:szCs w:val="20"/>
                <w:shd w:fill="F1F5F3" w:color="auto" w:val="clear"/>
              </w:rPr>
              <w:t xml:space="preserve">DA2-10</w:t>
            </w:r>
            <w:r>
              <w:rPr>
                <w:rFonts w:ascii="Be Vietnam Pro" w:cs="Be Vietnam Pro" w:eastAsia="Be Vietnam Pro" w:hAnsi="Be Vietnam Pro"/>
                <w:color w:val="101814"/>
                <w:sz w:val="20"/>
                <w:szCs w:val="20"/>
              </w:rPr>
              <w:t xml:space="preserve"> và </w:t>
            </w:r>
            <w:r>
              <w:rPr>
                <w:rFonts w:ascii="Menlo" w:cs="Menlo" w:eastAsia="Menlo" w:hAnsi="Menlo"/>
                <w:color w:val="101814"/>
                <w:sz w:val="20"/>
                <w:szCs w:val="20"/>
                <w:shd w:fill="F1F5F3" w:color="auto" w:val="clear"/>
              </w:rPr>
              <w:t xml:space="preserve">DA3-10</w:t>
            </w:r>
            <w:r>
              <w:rPr>
                <w:rFonts w:ascii="Be Vietnam Pro" w:cs="Be Vietnam Pro" w:eastAsia="Be Vietnam Pro" w:hAnsi="Be Vietnam Pro"/>
                <w:color w:val="101814"/>
                <w:sz w:val="20"/>
                <w:szCs w:val="20"/>
              </w:rPr>
              <w:t xml:space="preserve">. Nên làm trước khi nộp hồ sơ — nó biến con số ước tính thành con số đã kiểm chứng.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5.2 Bảng kê theo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996"/>
        <w:gridCol w:w="2725"/>
        <w:gridCol w:w="1394"/>
        <w:gridCol w:w="1991"/>
        <w:gridCol w:w="1394"/>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9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nội bộ</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Hoá đơn</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Chênh lệch</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 — Chi phí công cụ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75"/>
        <w:gridCol w:w="900"/>
        <w:gridCol w:w="585"/>
        <w:gridCol w:w="1260"/>
        <w:gridCol w:w="1440"/>
      </w:tblGrid>
      <w:tr>
        <w:trPr>
          <w:tblHeader/>
        </w:trPr>
        <w:tc>
          <w:tcPr>
            <w:tcW w:type="dxa" w:w="51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ba</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w:t>
            </w:r>
            <w:r>
              <w:rPr>
                <w:rFonts w:ascii="Be Vietnam Pro" w:cs="Be Vietnam Pro" w:eastAsia="Be Vietnam Pro" w:hAnsi="Be Vietnam Pro"/>
                <w:i/>
                <w:iCs/>
                <w:color w:val="101814"/>
                <w:sz w:val="20"/>
                <w:szCs w:val="20"/>
              </w:rPr>
              <w:t xml:space="preserve">(nếu có)</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Phần lớn công cụ dùng trong ba dự án là mã nguồn mở, không phát sinh chi phí bản quyền.</w:t>
      </w:r>
      <w:r>
        <w:rPr>
          <w:rFonts w:ascii="Be Vietnam Pro" w:cs="Be Vietnam Pro" w:eastAsia="Be Vietnam Pro" w:hAnsi="Be Vietnam Pro"/>
          <w:color w:val="101814"/>
          <w:sz w:val="21"/>
          <w:szCs w:val="21"/>
        </w:rPr>
        <w:t xml:space="preserve"> Danh mục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 Đây là điểm cần nói rõ khi giải trình: chi phí công cụ thấp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công ty không tự phát triển, mà là đặc điểm của việc dùng nền tảng mã nguồn mở.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Tổng hợp chi phí ba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672"/>
        <w:gridCol w:w="851"/>
        <w:gridCol w:w="851"/>
        <w:gridCol w:w="851"/>
        <w:gridCol w:w="1135"/>
      </w:tblGrid>
      <w:tr>
        <w:trPr>
          <w:tblHeader/>
        </w:trPr>
        <w:tc>
          <w:tcPr>
            <w:tcW w:type="dxa" w:w="56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chi phí</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c>
          <w:tcPr>
            <w:tcW w:type="dxa" w:w="11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Cộng</w:t>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Nhân công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 Hạ tầng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 Dịch vụ bên ngoài</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 Công cụ</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cộng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phí với khối lượng công việc</w:t>
      </w:r>
    </w:p>
    <w:p>
      <w:pPr>
        <w:spacing w:after="130" w:line="300"/>
      </w:pPr>
      <w:r>
        <w:rPr>
          <w:rFonts w:ascii="Be Vietnam Pro" w:cs="Be Vietnam Pro" w:eastAsia="Be Vietnam Pro" w:hAnsi="Be Vietnam Pro"/>
          <w:color w:val="101814"/>
          <w:sz w:val="21"/>
          <w:szCs w:val="21"/>
        </w:rPr>
        <w:t xml:space="preserve">Bảng này giúp người đọc hồ sơ đánh giá chi phí có tương xứng với khối lượng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2695"/>
        <w:gridCol w:w="1560"/>
        <w:gridCol w:w="1418"/>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mã nguồn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218 </w:t>
            </w:r>
            <w:r>
              <w:rPr>
                <w:rFonts w:ascii="Be Vietnam Pro" w:cs="Be Vietnam Pro" w:eastAsia="Be Vietnam Pro" w:hAnsi="Be Vietnam Pro"/>
                <w:i/>
                <w:iCs/>
                <w:color w:val="101814"/>
                <w:sz w:val="20"/>
                <w:szCs w:val="20"/>
              </w:rPr>
              <w:t xml:space="preserve">(chung với DA2)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(trong 218)</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phát triển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 bảng</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nhóm</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kèm theo</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 1.000 dòng mã</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Dòng cuối là chỉ số dễ đối chiếu nhất với mặt bằng chung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sách kiểm tra hồ sơ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636"/>
        <w:gridCol w:w="2133"/>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6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1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đối chiếu danh tính kỹ thuật ↔ nhân sự ở </w:t>
            </w:r>
            <w:r>
              <w:rPr>
                <w:rFonts w:ascii="Menlo" w:cs="Menlo" w:eastAsia="Menlo" w:hAnsi="Menlo"/>
                <w:color w:val="036F3D"/>
                <w:sz w:val="20"/>
                <w:szCs w:val="20"/>
                <w:shd w:fill="F1F5F3" w:color="auto" w:val="clear"/>
              </w:rPr>
              <w:t xml:space="preserve">00-1</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 + 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hợp đồng lao động của người có tên</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quyết định phân công dự án</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bảng lương và chứng từ chi trả</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chứng từ bảo hiểm xã hội</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căn cứ phân bổ giữa DA1 và DA2</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kê chi phí nhân công (mục 3.2)</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hoá đơn hạ tầng</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với hoá đơn</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Kỹ thuật</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tổng hợp (mục 7)</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Xác nhận</w:t>
      </w:r>
    </w:p>
    <w:p>
      <w:pPr>
        <w:spacing w:after="130" w:line="300"/>
      </w:pPr>
      <w:r>
        <w:rPr>
          <w:rFonts w:ascii="Be Vietnam Pro" w:cs="Be Vietnam Pro" w:eastAsia="Be Vietnam Pro" w:hAnsi="Be Vietnam Pro"/>
          <w:color w:val="101814"/>
          <w:sz w:val="21"/>
          <w:szCs w:val="21"/>
        </w:rPr>
        <w:t xml:space="preserve">Bộ phận Kế toán xác nhận các số liệu trong tài liệu này được lập trên cơ sở chứng từ gốc hiện có tại công ty, và phù hợp với sổ sách kế toán.</w:t>
      </w: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Kế toán trưởng: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00-6 · HỒ SƠ CHI PHÍ PHÁT TRIỂN PHẦN MỀM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00-6 — HỒ SƠ CHI PHÍ PHÁT TRIỂN PHẦN MỀM NỘI BỘ</dc:title>
  <dc:creator>Bioscope</dc:creator>
  <dc:description>Hồ sơ chung — sản xuất phần mềm nội bộ</dc:description>
  <cp:lastModifiedBy>Un-named</cp:lastModifiedBy>
  <cp:revision>1</cp:revision>
  <dcterms:created xsi:type="dcterms:W3CDTF">2026-09-04T03:25:57.980Z</dcterms:created>
  <dcterms:modified xsi:type="dcterms:W3CDTF">2026-09-04T03:25:57.980Z</dcterms:modified>
</cp:coreProperties>
</file>

<file path=docProps/custom.xml><?xml version="1.0" encoding="utf-8"?>
<Properties xmlns="http://schemas.openxmlformats.org/officeDocument/2006/custom-properties" xmlns:vt="http://schemas.openxmlformats.org/officeDocument/2006/docPropsVTypes"/>
</file>