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QUY ĐỊNH THÀNH LẬP HỢP ĐỒNG VÀ TRÌNH BÀY ĐƠN VỊ ĐO</w:t>
      </w:r>
    </w:p>
    <w:p>
      <w:pPr>
        <w:pStyle w:val="Heading2"/>
      </w:pPr>
      <w:r>
        <w:t>Phụ lục II - Thiết lập bội thập phân, ước thập phân của đơn vị đo</w:t>
      </w:r>
    </w:p>
    <w:p>
      <w:r>
        <w:t>Tiền tố "mega" được ký hiệu là "M", đơn vị "pascal" được ký hiệu là "Pa". Do đó, "Mpa" phải được viết thành "MPa" (ký hiệu đúng là "MPa") để thể hiện megapascal.</w:t>
      </w:r>
    </w:p>
    <w:p>
      <w:r>
        <w:t>Các đơn vị đo tiêu chuẩn bao gồm: mm, cm, m, km, mm2, cm2, m2, bar, Pa, MPa, K, °C, V, A, W, Hz, Ω</w:t>
      </w:r>
    </w:p>
    <w:p>
      <w:pPr>
        <w:pStyle w:val="Heading2"/>
      </w:pPr>
      <w:r>
        <w:t>Phụ lục III - ĐƠN VỊ ĐO THEO THÔNG LỆ QUỐC TẾ</w:t>
      </w:r>
    </w:p>
    <w:p>
      <w:r>
        <w:t>Chỉ được sử dụng các đơn vị đo trong danh sách tiêu chuẩn được phê duyệt.</w:t>
      </w:r>
    </w:p>
    <w:p>
      <w:r>
        <w:t>Danh sách các đơn vị được phép: mm, cm, m, bar, Pa, MPa (không được dùng "D", "mpa", "Mpa")</w:t>
      </w:r>
    </w:p>
    <w:p>
      <w:pPr>
        <w:pStyle w:val="Heading2"/>
      </w:pPr>
      <w:r>
        <w:t>Phụ lục V - TRÌNH BÀY ĐƠN VỊ ĐO PHÁP ĐỊNH</w:t>
      </w:r>
    </w:p>
    <w:p>
      <w:r>
        <w:t>Khi thể hiện giá trị đại lượng đo, ký hiệu đơn vị đo phải đặt sau trị số, giữa hai thành phần này phải cách nhau một dấu cách.</w:t>
      </w:r>
    </w:p>
    <w:p>
      <w:r>
        <w:t>Giá trị đại lượng đo phải kèm theo đơn vị đo cụ thể (ví dụ: "3/8 mm" hoặc "0,375 mm" không phải "3/8" hoặc "D=3/8").</w:t>
      </w:r>
    </w:p>
    <w:p>
      <w:r>
        <w:t>Biểu thị dấu thập phân của giá trị đại lượng đo phải sử dụng dấu phẩy (,) không sử dụng dấu chấm (.). Ví dụ: "0,95 MPa" không phải "0.95 Mpa".</w:t>
      </w:r>
    </w:p>
    <w:p>
      <w:pPr>
        <w:pStyle w:val="Heading2"/>
      </w:pPr>
      <w:r>
        <w:t>1. Yêu cầu chung</w:t>
      </w:r>
    </w:p>
    <w:p>
      <w:r>
        <w:t>Tất cả hợp đồng phải được lập theo mẫu chuẩn được phê duyệt</w:t>
      </w:r>
    </w:p>
    <w:p>
      <w:r>
        <w:t>Công ty phải được viết dưới dạng: "Công ty tnhh [Tên]" hoặc "Công ty cổ phần [Tên]"</w:t>
      </w:r>
    </w:p>
    <w:p>
      <w:r>
        <w:t>Ngày tháng năm phải được viết dưới dạng: DD/MM/YYYY</w:t>
      </w:r>
    </w:p>
    <w:p>
      <w:pPr>
        <w:pStyle w:val="Heading2"/>
      </w:pPr>
      <w:r>
        <w:t>2. Thông tin bên giao dịch</w:t>
      </w:r>
    </w:p>
    <w:p>
      <w:r>
        <w:t>Phải ghi đầy đủ tên và chức vụ của đại diện pháp luật</w:t>
      </w:r>
    </w:p>
    <w:p>
      <w:r>
        <w:t>Không được để trống bất kỳ trường nào</w:t>
      </w:r>
    </w:p>
    <w:p>
      <w:pPr>
        <w:pStyle w:val="Heading2"/>
      </w:pPr>
      <w:r>
        <w:t>3. Tiền tệ</w:t>
      </w:r>
    </w:p>
    <w:p>
      <w:r>
        <w:t>Sử dụng VND (Việt Nam Đồng) hoặc USD (Đô la Mỹ)</w:t>
      </w:r>
    </w:p>
    <w:p>
      <w:r>
        <w:t>Phải nhất quán trên toàn bộ hợp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