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BÁO CÁO TIẾN ĐỘ ĐỒ ÁN</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 HOẠCH TUẦN — 01/09/2026</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Đề tài: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Hệ thống trí tuệ nhân tạo có thể giải thích (XAI) trong bài toán đánh giá và khám phá tri thức thể thao</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5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Hướng nghiên cứu cụ thể: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Mạng chuyền bóng và phân tích chiến thuật bóng đá bằng Graph Neural Network (GNN) kết hợp XAI</w:t>
      </w:r>
      <w:r w:rsidDel="00000000" w:rsidR="00000000" w:rsidRPr="00000000">
        <w:rPr>
          <w:rtl w:val="0"/>
        </w:rPr>
      </w:r>
    </w:p>
    <w:p w:rsidR="00000000" w:rsidDel="00000000" w:rsidP="00000000" w:rsidRDefault="00000000" w:rsidRPr="00000000" w14:paraId="00000005">
      <w:pPr>
        <w:pStyle w:val="Heading1"/>
        <w:spacing w:after="120" w:lineRule="auto"/>
        <w:rPr>
          <w:color w:val="000000"/>
        </w:rPr>
      </w:pPr>
      <w:bookmarkStart w:colFirst="0" w:colLast="0" w:name="_814k0dw35a00" w:id="0"/>
      <w:bookmarkEnd w:id="0"/>
      <w:r w:rsidDel="00000000" w:rsidR="00000000" w:rsidRPr="00000000">
        <w:rPr>
          <w:rtl w:val="0"/>
        </w:rPr>
      </w:r>
    </w:p>
    <w:p w:rsidR="00000000" w:rsidDel="00000000" w:rsidP="00000000" w:rsidRDefault="00000000" w:rsidRPr="00000000" w14:paraId="00000006">
      <w:pPr>
        <w:pStyle w:val="Heading1"/>
        <w:spacing w:after="120" w:lineRule="auto"/>
        <w:rPr>
          <w:color w:val="000000"/>
        </w:rPr>
      </w:pPr>
      <w:r w:rsidDel="00000000" w:rsidR="00000000" w:rsidRPr="00000000">
        <w:rPr>
          <w:color w:val="000000"/>
          <w:rtl w:val="0"/>
        </w:rPr>
        <w:t xml:space="preserve">1. Phản hồi các góp ý của giảng viên (buổi báo cáo 25/08/2026)</w:t>
      </w:r>
    </w:p>
    <w:p w:rsidR="00000000" w:rsidDel="00000000" w:rsidP="00000000" w:rsidRDefault="00000000" w:rsidRPr="00000000" w14:paraId="00000007">
      <w:pPr>
        <w:spacing w:after="160" w:line="300" w:lineRule="auto"/>
        <w:rPr>
          <w:color w:val="000000"/>
        </w:rPr>
      </w:pPr>
      <w:r w:rsidDel="00000000" w:rsidR="00000000" w:rsidRPr="00000000">
        <w:rPr>
          <w:color w:val="000000"/>
          <w:rtl w:val="0"/>
        </w:rPr>
        <w:t xml:space="preserve">Trong buổi báo cáo tuần trước, thầy đã góp ý ba nhóm ý chính, tập trung vào việc xác định lại cho rõ bài toán nghiên cứu trước khi triển khai các bước tiếp theo. Nhóm xin trình bày cách hiểu và hướng giải quyết cụ thể cho từng ý dưới đây.</w:t>
      </w:r>
    </w:p>
    <w:p w:rsidR="00000000" w:rsidDel="00000000" w:rsidP="00000000" w:rsidRDefault="00000000" w:rsidRPr="00000000" w14:paraId="00000008">
      <w:pPr>
        <w:pStyle w:val="Heading2"/>
        <w:spacing w:after="160" w:before="300" w:lineRule="auto"/>
        <w:rPr>
          <w:color w:val="000000"/>
        </w:rPr>
      </w:pPr>
      <w:r w:rsidDel="00000000" w:rsidR="00000000" w:rsidRPr="00000000">
        <w:rPr>
          <w:color w:val="000000"/>
          <w:rtl w:val="0"/>
        </w:rPr>
        <w:t xml:space="preserve">1.1. Xác nhận định nghĩa bài toán nghiên cứu</w:t>
      </w:r>
    </w:p>
    <w:tbl>
      <w:tblPr>
        <w:tblStyle w:val="Table1"/>
        <w:tblW w:w="10146.0" w:type="dxa"/>
        <w:jc w:val="left"/>
        <w:tblBorders>
          <w:top w:color="e8c468" w:space="0" w:sz="6" w:val="single"/>
          <w:left w:color="e8c468" w:space="0" w:sz="6" w:val="single"/>
          <w:bottom w:color="e8c468" w:space="0" w:sz="6" w:val="single"/>
          <w:right w:color="e8c468" w:space="0" w:sz="6" w:val="single"/>
          <w:insideH w:color="000000" w:space="0" w:sz="4" w:val="single"/>
          <w:insideV w:color="000000" w:space="0" w:sz="4" w:val="single"/>
        </w:tblBorders>
        <w:tblLayout w:type="fixed"/>
        <w:tblLook w:val="0000"/>
      </w:tblPr>
      <w:tblGrid>
        <w:gridCol w:w="10146"/>
        <w:tblGridChange w:id="0">
          <w:tblGrid>
            <w:gridCol w:w="10146"/>
          </w:tblGrid>
        </w:tblGridChange>
      </w:tblGrid>
      <w:tr>
        <w:trPr>
          <w:cantSplit w:val="0"/>
          <w:tblHeader w:val="0"/>
        </w:trPr>
        <w:tc>
          <w:tcPr>
            <w:tcBorders>
              <w:top w:color="e8c468" w:space="0" w:sz="6" w:val="single"/>
              <w:left w:color="e8c468" w:space="0" w:sz="6" w:val="single"/>
              <w:bottom w:color="e8c468" w:space="0" w:sz="6" w:val="single"/>
              <w:right w:color="e8c468" w:space="0" w:sz="6" w:val="single"/>
            </w:tcBorders>
            <w:shd w:fill="fff2cc" w:val="clear"/>
            <w:tcMar>
              <w:top w:w="200.0" w:type="dxa"/>
              <w:left w:w="200.0" w:type="dxa"/>
              <w:bottom w:w="200.0" w:type="dxa"/>
              <w:right w:w="200.0" w:type="dxa"/>
            </w:tcMar>
          </w:tcPr>
          <w:p w:rsidR="00000000" w:rsidDel="00000000" w:rsidP="00000000" w:rsidRDefault="00000000" w:rsidRPr="00000000" w14:paraId="00000009">
            <w:pPr>
              <w:spacing w:after="80" w:lineRule="auto"/>
              <w:rPr>
                <w:color w:val="000000"/>
              </w:rPr>
            </w:pPr>
            <w:r w:rsidDel="00000000" w:rsidR="00000000" w:rsidRPr="00000000">
              <w:rPr>
                <w:b w:val="1"/>
                <w:bCs w:val="1"/>
                <w:i w:val="1"/>
                <w:iCs w:val="1"/>
                <w:color w:val="000000"/>
                <w:rtl w:val="0"/>
              </w:rPr>
              <w:t xml:space="preserve">Nhận xét của giảng viên (25/08):</w:t>
            </w:r>
            <w:r w:rsidDel="00000000" w:rsidR="00000000" w:rsidRPr="00000000">
              <w:rPr>
                <w:rtl w:val="0"/>
              </w:rPr>
            </w:r>
          </w:p>
          <w:p w:rsidR="00000000" w:rsidDel="00000000" w:rsidP="00000000" w:rsidRDefault="00000000" w:rsidRPr="00000000" w14:paraId="0000000A">
            <w:pPr>
              <w:rPr>
                <w:color w:val="000000"/>
              </w:rPr>
            </w:pPr>
            <w:r w:rsidDel="00000000" w:rsidR="00000000" w:rsidRPr="00000000">
              <w:rPr>
                <w:i w:val="1"/>
                <w:iCs w:val="1"/>
                <w:color w:val="000000"/>
                <w:rtl w:val="0"/>
              </w:rPr>
              <w:t xml:space="preserve">“Nhóm cần xác nhận lại bài toán của nhóm có đúng là: (1) dự đoán xác suất một chuỗi tấn công (possession) dẫn đến cú sút/bàn thắng từ đồ thị chuyền bóng; và (2) dùng XAI để chỉ ra subgraph quan trọng và tính chỉ số Hybrid Centrality cho từng cầu thủ hay không. Phải xác định rõ chỗ này thì mới đi đến bước tiếp theo.”</w:t>
            </w:r>
            <w:r w:rsidDel="00000000" w:rsidR="00000000" w:rsidRPr="00000000">
              <w:rPr>
                <w:rtl w:val="0"/>
              </w:rPr>
            </w:r>
          </w:p>
        </w:tc>
      </w:tr>
    </w:tbl>
    <w:p w:rsidR="00000000" w:rsidDel="00000000" w:rsidP="00000000" w:rsidRDefault="00000000" w:rsidRPr="00000000" w14:paraId="0000000B">
      <w:pPr>
        <w:spacing w:after="160" w:lineRule="auto"/>
        <w:rPr>
          <w:color w:val="000000"/>
        </w:rPr>
      </w:pPr>
      <w:r w:rsidDel="00000000" w:rsidR="00000000" w:rsidRPr="00000000">
        <w:rPr>
          <w:rtl w:val="0"/>
        </w:rPr>
      </w:r>
    </w:p>
    <w:p w:rsidR="00000000" w:rsidDel="00000000" w:rsidP="00000000" w:rsidRDefault="00000000" w:rsidRPr="00000000" w14:paraId="0000000C">
      <w:pPr>
        <w:spacing w:after="160" w:line="300" w:lineRule="auto"/>
        <w:rPr>
          <w:color w:val="000000"/>
        </w:rPr>
      </w:pPr>
      <w:r w:rsidDel="00000000" w:rsidR="00000000" w:rsidRPr="00000000">
        <w:rPr>
          <w:color w:val="000000"/>
          <w:rtl w:val="0"/>
        </w:rPr>
        <w:t xml:space="preserve">Nhóm xin xác nhận: đây đúng là định nghĩa bài toán nghiên cứu hiện tại của nhóm, gồm hai bài toán con có quan hệ tầng (pipeline) với nhau:</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Bài toán 1 – Dự đoán (Prediction task):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Cho một chuỗi tấn công (possession sequence) được biểu diễn dưới dạng đồ thị chuyền bóng có hướng (đỉnh = cầu thủ, cạnh = đường chuyền, có đặc trưng vị trí, loại chuyền, thời gian), mô hình GNN dự đoán xác suất chuỗi tấn công đó dẫn đến cú sút hoặc bàn thắng. Đây là bài toán phân loại (classification) ở mức đồ thị (graph-level prediction).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Bài toán 2 – Giải thích (XAI task):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Trên mô hình GNN đã huấn luyện ở Bài toán 1, áp dụng phương pháp XAI cho đồ thị (GNNExplainer / PGExplainer) để: (a) xác định subgraph quan trọng – tức tập con cầu thủ và đường chuyền đóng góp nhiều nhất vào dự đoán của mô hình; và (b) tổng hợp các điểm quan trọng đó qua nhiều possession để tính chỉ số Hybrid Centrality cho từng cầu thủ, kết hợp giữa centrality mạng truyền thống và mức độ quan trọng do XAI xác định.</w:t>
      </w:r>
    </w:p>
    <w:p w:rsidR="00000000" w:rsidDel="00000000" w:rsidP="00000000" w:rsidRDefault="00000000" w:rsidRPr="00000000" w14:paraId="0000000F">
      <w:pPr>
        <w:spacing w:after="160" w:line="300" w:lineRule="auto"/>
        <w:rPr>
          <w:color w:val="000000"/>
        </w:rPr>
      </w:pPr>
      <w:r w:rsidDel="00000000" w:rsidR="00000000" w:rsidRPr="00000000">
        <w:rPr>
          <w:color w:val="000000"/>
          <w:rtl w:val="0"/>
        </w:rPr>
        <w:t xml:space="preserve">Nhóm xác nhận Bài toán 2 phụ thuộc vào kết quả của Bài toán 1 (phải có mô hình dự đoán đáng tin cậy thì giải thích của XAI mới có ý nghĩa), và đây chính là cơ sở để nhóm xác định các độ đo đánh giá tương ứng ở mục 1.2 và các mô hình đối sánh ở mục 1.3.</w:t>
      </w:r>
    </w:p>
    <w:p w:rsidR="00000000" w:rsidDel="00000000" w:rsidP="00000000" w:rsidRDefault="00000000" w:rsidRPr="00000000" w14:paraId="00000010">
      <w:pPr>
        <w:pStyle w:val="Heading2"/>
        <w:spacing w:after="160" w:before="300" w:lineRule="auto"/>
        <w:rPr>
          <w:color w:val="000000"/>
        </w:rPr>
      </w:pPr>
      <w:r w:rsidDel="00000000" w:rsidR="00000000" w:rsidRPr="00000000">
        <w:rPr>
          <w:color w:val="000000"/>
          <w:rtl w:val="0"/>
        </w:rPr>
        <w:t xml:space="preserve">1.2. Xác định các độ đo đánh giá (evaluation metrics)</w:t>
      </w:r>
    </w:p>
    <w:tbl>
      <w:tblPr>
        <w:tblStyle w:val="Table2"/>
        <w:tblW w:w="10146.0" w:type="dxa"/>
        <w:jc w:val="left"/>
        <w:tblBorders>
          <w:top w:color="e8c468" w:space="0" w:sz="6" w:val="single"/>
          <w:left w:color="e8c468" w:space="0" w:sz="6" w:val="single"/>
          <w:bottom w:color="e8c468" w:space="0" w:sz="6" w:val="single"/>
          <w:right w:color="e8c468" w:space="0" w:sz="6" w:val="single"/>
          <w:insideH w:color="000000" w:space="0" w:sz="4" w:val="single"/>
          <w:insideV w:color="000000" w:space="0" w:sz="4" w:val="single"/>
        </w:tblBorders>
        <w:tblLayout w:type="fixed"/>
        <w:tblLook w:val="0000"/>
      </w:tblPr>
      <w:tblGrid>
        <w:gridCol w:w="10146"/>
        <w:tblGridChange w:id="0">
          <w:tblGrid>
            <w:gridCol w:w="10146"/>
          </w:tblGrid>
        </w:tblGridChange>
      </w:tblGrid>
      <w:tr>
        <w:trPr>
          <w:cantSplit w:val="0"/>
          <w:tblHeader w:val="0"/>
        </w:trPr>
        <w:tc>
          <w:tcPr>
            <w:tcBorders>
              <w:top w:color="e8c468" w:space="0" w:sz="6" w:val="single"/>
              <w:left w:color="e8c468" w:space="0" w:sz="6" w:val="single"/>
              <w:bottom w:color="e8c468" w:space="0" w:sz="6" w:val="single"/>
              <w:right w:color="e8c468" w:space="0" w:sz="6" w:val="single"/>
            </w:tcBorders>
            <w:shd w:fill="fff2cc" w:val="clear"/>
            <w:tcMar>
              <w:top w:w="200.0" w:type="dxa"/>
              <w:left w:w="200.0" w:type="dxa"/>
              <w:bottom w:w="200.0" w:type="dxa"/>
              <w:right w:w="200.0" w:type="dxa"/>
            </w:tcMar>
          </w:tcPr>
          <w:p w:rsidR="00000000" w:rsidDel="00000000" w:rsidP="00000000" w:rsidRDefault="00000000" w:rsidRPr="00000000" w14:paraId="00000011">
            <w:pPr>
              <w:spacing w:after="80" w:lineRule="auto"/>
              <w:rPr>
                <w:color w:val="000000"/>
              </w:rPr>
            </w:pPr>
            <w:r w:rsidDel="00000000" w:rsidR="00000000" w:rsidRPr="00000000">
              <w:rPr>
                <w:b w:val="1"/>
                <w:bCs w:val="1"/>
                <w:i w:val="1"/>
                <w:iCs w:val="1"/>
                <w:color w:val="000000"/>
                <w:rtl w:val="0"/>
              </w:rPr>
              <w:t xml:space="preserve">Nhận xét của giảng viên (25/08):</w:t>
            </w:r>
            <w:r w:rsidDel="00000000" w:rsidR="00000000" w:rsidRPr="00000000">
              <w:rPr>
                <w:rtl w:val="0"/>
              </w:rPr>
            </w:r>
          </w:p>
          <w:p w:rsidR="00000000" w:rsidDel="00000000" w:rsidP="00000000" w:rsidRDefault="00000000" w:rsidRPr="00000000" w14:paraId="00000012">
            <w:pPr>
              <w:rPr>
                <w:color w:val="000000"/>
              </w:rPr>
            </w:pPr>
            <w:r w:rsidDel="00000000" w:rsidR="00000000" w:rsidRPr="00000000">
              <w:rPr>
                <w:i w:val="1"/>
                <w:iCs w:val="1"/>
                <w:color w:val="000000"/>
                <w:rtl w:val="0"/>
              </w:rPr>
              <w:t xml:space="preserve">“Sau khi xác định đúng bài toán, nhóm cần xác định rõ các độ đo dùng để: (i) đánh giá chất lượng của kết quả dự đoán, và (ii) đánh giá chất lượng của phần giải thích XAI.”</w:t>
            </w:r>
            <w:r w:rsidDel="00000000" w:rsidR="00000000" w:rsidRPr="00000000">
              <w:rPr>
                <w:rtl w:val="0"/>
              </w:rPr>
            </w:r>
          </w:p>
        </w:tc>
      </w:tr>
    </w:tbl>
    <w:p w:rsidR="00000000" w:rsidDel="00000000" w:rsidP="00000000" w:rsidRDefault="00000000" w:rsidRPr="00000000" w14:paraId="00000013">
      <w:pPr>
        <w:spacing w:after="160" w:lineRule="auto"/>
        <w:rPr>
          <w:color w:val="000000"/>
        </w:rPr>
      </w:pPr>
      <w:r w:rsidDel="00000000" w:rsidR="00000000" w:rsidRPr="00000000">
        <w:rPr>
          <w:rtl w:val="0"/>
        </w:rPr>
      </w:r>
    </w:p>
    <w:p w:rsidR="00000000" w:rsidDel="00000000" w:rsidP="00000000" w:rsidRDefault="00000000" w:rsidRPr="00000000" w14:paraId="00000014">
      <w:pPr>
        <w:pStyle w:val="Heading3"/>
        <w:spacing w:after="120" w:before="220" w:lineRule="auto"/>
        <w:rPr>
          <w:color w:val="000000"/>
        </w:rPr>
      </w:pPr>
      <w:r w:rsidDel="00000000" w:rsidR="00000000" w:rsidRPr="00000000">
        <w:rPr>
          <w:color w:val="000000"/>
          <w:rtl w:val="0"/>
        </w:rPr>
        <w:t xml:space="preserve">a) Độ đo cho Bài toán 1 – Dự đoán</w:t>
      </w:r>
    </w:p>
    <w:p w:rsidR="00000000" w:rsidDel="00000000" w:rsidP="00000000" w:rsidRDefault="00000000" w:rsidRPr="00000000" w14:paraId="00000015">
      <w:pPr>
        <w:spacing w:after="160" w:line="300" w:lineRule="auto"/>
        <w:rPr>
          <w:color w:val="000000"/>
        </w:rPr>
      </w:pPr>
      <w:r w:rsidDel="00000000" w:rsidR="00000000" w:rsidRPr="00000000">
        <w:rPr>
          <w:color w:val="000000"/>
          <w:rtl w:val="0"/>
        </w:rPr>
        <w:t xml:space="preserve">Vì đây là bài toán phân loại nhị phân ở mức đồ thị và dữ liệu possession có khả năng mất cân bằng lớp (số possession dẫn đến sút/bàn thắng ít hơn nhiều so với không dẫn đến), nhóm dự kiến dùng bộ độ đo sau:</w:t>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Accuracy – độ chính xác tổng thể, dùng làm chỉ số tham khảo nhanh, không dùng làm độ đo chính vì dữ liệu mất cân bằng.</w:t>
      </w:r>
    </w:p>
    <w:p w:rsidR="00000000" w:rsidDel="00000000" w:rsidP="00000000" w:rsidRDefault="00000000" w:rsidRPr="00000000" w14:paraId="000000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Precision, Recall, F1-score – đánh giá khả năng nhận diện đúng các possession thực sự dẫn đến sút/bàn thắng.</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AUC-ROC và AUC-PR (Area Under Precision-Recall Curve) – AUC-PR đặc biệt phù hợp khi lớp dương (sút/bàn thắng) hiếm.</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Calibration (ví dụ Brier score) – vì đầu ra là xác suất, cần kiểm tra xác suất dự đoán có phản ánh đúng tần suất thực tế hay không, không chỉ đúng nhãn.</w:t>
      </w:r>
    </w:p>
    <w:p w:rsidR="00000000" w:rsidDel="00000000" w:rsidP="00000000" w:rsidRDefault="00000000" w:rsidRPr="00000000" w14:paraId="0000001A">
      <w:pPr>
        <w:pStyle w:val="Heading3"/>
        <w:spacing w:after="120" w:before="220" w:lineRule="auto"/>
        <w:rPr>
          <w:color w:val="000000"/>
        </w:rPr>
      </w:pPr>
      <w:r w:rsidDel="00000000" w:rsidR="00000000" w:rsidRPr="00000000">
        <w:rPr>
          <w:color w:val="000000"/>
          <w:rtl w:val="0"/>
        </w:rPr>
        <w:t xml:space="preserve">b) Độ đo cho Bài toán 2 – XAI</w:t>
      </w:r>
    </w:p>
    <w:p w:rsidR="00000000" w:rsidDel="00000000" w:rsidP="00000000" w:rsidRDefault="00000000" w:rsidRPr="00000000" w14:paraId="0000001B">
      <w:pPr>
        <w:spacing w:after="160" w:line="300" w:lineRule="auto"/>
        <w:rPr>
          <w:color w:val="000000"/>
        </w:rPr>
      </w:pPr>
      <w:r w:rsidDel="00000000" w:rsidR="00000000" w:rsidRPr="00000000">
        <w:rPr>
          <w:color w:val="000000"/>
          <w:rtl w:val="0"/>
        </w:rPr>
        <w:t xml:space="preserve">Đánh giá XAI cho GNN khó hơn vì không có “nhãn đúng” tuyệt đối cho subgraph quan trọng. Nhóm dự kiến dùng các nhóm độ đo phổ biến trong tài liệu XAI cho đồ thị:</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Fidelity (Fidelity+/Fidelity−) – đo mức thay đổi của dự đoán khi giữ lại hoặc loại bỏ subgraph được XAI xác định là quan trọng.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Sparsity – đo mức độ gọn/tối giản của subgraph giải thích (giải thích càng ít phần tử mà vẫn giữ được fidelity cao càng tốt).</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Stability / Robustness – đo mức độ ổn định của giải thích khi đầu vào bị nhiễu nhẹ hoặc khi lặp lại nhiều lần trên cùng một possession.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ROAR / Insertion-Deletion curve – đánh giá gián tiếp bằng cách xóa/thêm dần các thành phần theo thứ tự quan trọng và quan sát mức suy giảm hiệu năng dự đoán.</w:t>
      </w:r>
    </w:p>
    <w:p w:rsidR="00000000" w:rsidDel="00000000" w:rsidP="00000000" w:rsidRDefault="00000000" w:rsidRPr="00000000" w14:paraId="00000020">
      <w:pPr>
        <w:spacing w:after="160" w:line="300" w:lineRule="auto"/>
        <w:rPr>
          <w:color w:val="000000"/>
        </w:rPr>
      </w:pPr>
      <w:r w:rsidDel="00000000" w:rsidR="00000000" w:rsidRPr="00000000">
        <w:rPr>
          <w:i w:val="1"/>
          <w:iCs w:val="1"/>
          <w:color w:val="000000"/>
          <w:rtl w:val="0"/>
        </w:rPr>
        <w:t xml:space="preserve">Các độ đo XAI này sẽ là cơ sở định lượng để nhóm kiểm chứng Hybrid Centrality ở giai đoạn sau, tránh việc trình bày subgraph quan trọng chỉ mang tính minh họa trực quan.</w:t>
      </w:r>
      <w:r w:rsidDel="00000000" w:rsidR="00000000" w:rsidRPr="00000000">
        <w:rPr>
          <w:rtl w:val="0"/>
        </w:rPr>
      </w:r>
    </w:p>
    <w:p w:rsidR="00000000" w:rsidDel="00000000" w:rsidP="00000000" w:rsidRDefault="00000000" w:rsidRPr="00000000" w14:paraId="00000021">
      <w:pPr>
        <w:pStyle w:val="Heading2"/>
        <w:spacing w:after="160" w:before="300" w:lineRule="auto"/>
        <w:rPr>
          <w:color w:val="000000"/>
        </w:rPr>
      </w:pPr>
      <w:r w:rsidDel="00000000" w:rsidR="00000000" w:rsidRPr="00000000">
        <w:rPr>
          <w:color w:val="000000"/>
          <w:rtl w:val="0"/>
        </w:rPr>
        <w:t xml:space="preserve">1.3. Xác định các mô hình đối sánh (baselines)</w:t>
      </w:r>
    </w:p>
    <w:tbl>
      <w:tblPr>
        <w:tblStyle w:val="Table3"/>
        <w:tblW w:w="10146.0" w:type="dxa"/>
        <w:jc w:val="left"/>
        <w:tblBorders>
          <w:top w:color="e8c468" w:space="0" w:sz="6" w:val="single"/>
          <w:left w:color="e8c468" w:space="0" w:sz="6" w:val="single"/>
          <w:bottom w:color="e8c468" w:space="0" w:sz="6" w:val="single"/>
          <w:right w:color="e8c468" w:space="0" w:sz="6" w:val="single"/>
          <w:insideH w:color="000000" w:space="0" w:sz="4" w:val="single"/>
          <w:insideV w:color="000000" w:space="0" w:sz="4" w:val="single"/>
        </w:tblBorders>
        <w:tblLayout w:type="fixed"/>
        <w:tblLook w:val="0000"/>
      </w:tblPr>
      <w:tblGrid>
        <w:gridCol w:w="10146"/>
        <w:tblGridChange w:id="0">
          <w:tblGrid>
            <w:gridCol w:w="10146"/>
          </w:tblGrid>
        </w:tblGridChange>
      </w:tblGrid>
      <w:tr>
        <w:trPr>
          <w:cantSplit w:val="0"/>
          <w:tblHeader w:val="0"/>
        </w:trPr>
        <w:tc>
          <w:tcPr>
            <w:tcBorders>
              <w:top w:color="e8c468" w:space="0" w:sz="6" w:val="single"/>
              <w:left w:color="e8c468" w:space="0" w:sz="6" w:val="single"/>
              <w:bottom w:color="e8c468" w:space="0" w:sz="6" w:val="single"/>
              <w:right w:color="e8c468" w:space="0" w:sz="6" w:val="single"/>
            </w:tcBorders>
            <w:shd w:fill="fff2cc" w:val="clear"/>
            <w:tcMar>
              <w:top w:w="200.0" w:type="dxa"/>
              <w:left w:w="200.0" w:type="dxa"/>
              <w:bottom w:w="200.0" w:type="dxa"/>
              <w:right w:w="200.0" w:type="dxa"/>
            </w:tcMar>
          </w:tcPr>
          <w:p w:rsidR="00000000" w:rsidDel="00000000" w:rsidP="00000000" w:rsidRDefault="00000000" w:rsidRPr="00000000" w14:paraId="00000022">
            <w:pPr>
              <w:spacing w:after="80" w:lineRule="auto"/>
              <w:rPr>
                <w:color w:val="000000"/>
              </w:rPr>
            </w:pPr>
            <w:r w:rsidDel="00000000" w:rsidR="00000000" w:rsidRPr="00000000">
              <w:rPr>
                <w:b w:val="1"/>
                <w:bCs w:val="1"/>
                <w:i w:val="1"/>
                <w:iCs w:val="1"/>
                <w:color w:val="000000"/>
                <w:rtl w:val="0"/>
              </w:rPr>
              <w:t xml:space="preserve">Nhận xét của giảng viên (25/08):</w:t>
            </w:r>
            <w:r w:rsidDel="00000000" w:rsidR="00000000" w:rsidRPr="00000000">
              <w:rPr>
                <w:rtl w:val="0"/>
              </w:rPr>
            </w:r>
          </w:p>
          <w:p w:rsidR="00000000" w:rsidDel="00000000" w:rsidP="00000000" w:rsidRDefault="00000000" w:rsidRPr="00000000" w14:paraId="00000023">
            <w:pPr>
              <w:rPr>
                <w:color w:val="000000"/>
              </w:rPr>
            </w:pPr>
            <w:r w:rsidDel="00000000" w:rsidR="00000000" w:rsidRPr="00000000">
              <w:rPr>
                <w:i w:val="1"/>
                <w:iCs w:val="1"/>
                <w:color w:val="000000"/>
                <w:rtl w:val="0"/>
              </w:rPr>
              <w:t xml:space="preserve">“Sau khi có độ đo, nhóm cần xác định các mô hình (baseline) cùng giải quyết bài toán này để đối sánh. Nếu không có mô hình nào giải quyết chính xác bài toán, có thể lấy backbone ra so sánh (ví dụ backbone GNN so với GAT). Nếu không có mô hình nào giải quyết đồng thời cả hai bài toán dự đoán và XAI, có thể tách thành hai nhóm baseline riêng: nhóm mô hình dự đoán và nhóm mô hình XAI, đối sánh riêng từng nhóm.”</w:t>
            </w:r>
            <w:r w:rsidDel="00000000" w:rsidR="00000000" w:rsidRPr="00000000">
              <w:rPr>
                <w:rtl w:val="0"/>
              </w:rPr>
            </w:r>
          </w:p>
        </w:tc>
      </w:tr>
    </w:tbl>
    <w:p w:rsidR="00000000" w:rsidDel="00000000" w:rsidP="00000000" w:rsidRDefault="00000000" w:rsidRPr="00000000" w14:paraId="00000024">
      <w:pPr>
        <w:spacing w:after="160" w:lineRule="auto"/>
        <w:rPr>
          <w:color w:val="000000"/>
        </w:rPr>
      </w:pPr>
      <w:r w:rsidDel="00000000" w:rsidR="00000000" w:rsidRPr="00000000">
        <w:rPr>
          <w:rtl w:val="0"/>
        </w:rPr>
      </w:r>
    </w:p>
    <w:p w:rsidR="00000000" w:rsidDel="00000000" w:rsidP="00000000" w:rsidRDefault="00000000" w:rsidRPr="00000000" w14:paraId="00000025">
      <w:pPr>
        <w:spacing w:after="160" w:line="300" w:lineRule="auto"/>
        <w:rPr>
          <w:color w:val="000000"/>
        </w:rPr>
      </w:pPr>
      <w:r w:rsidDel="00000000" w:rsidR="00000000" w:rsidRPr="00000000">
        <w:rPr>
          <w:color w:val="000000"/>
          <w:rtl w:val="0"/>
        </w:rPr>
        <w:t xml:space="preserve">Nhóm đã tiến hành khảo sát tài liệu (danh mục nguồn ở cuối mục này) và xác định cụ thể hướng triển khai theo ba tầng như sau.</w:t>
      </w:r>
    </w:p>
    <w:p w:rsidR="00000000" w:rsidDel="00000000" w:rsidP="00000000" w:rsidRDefault="00000000" w:rsidRPr="00000000" w14:paraId="00000026">
      <w:pPr>
        <w:pStyle w:val="Heading3"/>
        <w:spacing w:after="120" w:before="220" w:lineRule="auto"/>
        <w:rPr>
          <w:color w:val="000000"/>
        </w:rPr>
      </w:pPr>
      <w:r w:rsidDel="00000000" w:rsidR="00000000" w:rsidRPr="00000000">
        <w:rPr>
          <w:color w:val="000000"/>
          <w:rtl w:val="0"/>
        </w:rPr>
        <w:t xml:space="preserve">Tầng 1 – Rà soát mô hình giải quyết đồng thời cả hai bài toán</w:t>
      </w:r>
    </w:p>
    <w:p w:rsidR="00000000" w:rsidDel="00000000" w:rsidP="00000000" w:rsidRDefault="00000000" w:rsidRPr="00000000" w14:paraId="00000027">
      <w:pPr>
        <w:spacing w:after="160" w:line="300" w:lineRule="auto"/>
        <w:rPr>
          <w:color w:val="000000"/>
        </w:rPr>
      </w:pPr>
      <w:r w:rsidDel="00000000" w:rsidR="00000000" w:rsidRPr="00000000">
        <w:rPr>
          <w:color w:val="000000"/>
          <w:rtl w:val="0"/>
        </w:rPr>
        <w:t xml:space="preserve">Kết quả khảo sát cho thấy chưa có công trình nào giải quyết đồng thời cả ba thành phần: (i) dự đoán outcome (sút/bàn thắng) từ đồ thị chuyền bóng open-play, (ii) trích xuất subgraph quan trọng bằng XAI cho đồ thị, và (iii) tổng hợp XAI-importance với centrality mạng thành một chỉ số hợp nhất.</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Công trình gần nhất là TacticAI (Wang, Veličković, Hennes và cộng sự, DeepMind hợp tác Liverpool FC, công bố trên Nature Communications, 2024): dùng GNN (so sánh MPNN và GATv2) trên đồ thị cầu thủ để dự đoán người nhận bóng và khả năng dẫn đến cú sút, nhưng chỉ áp dụng cho tình huống cố định (phạt góc), không dùng graph-XAI dạng subgraph và không tính centrality hợp nhất.</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Các công trình khác dùng GNN cho passing network (ví dụ mô hình dự đoán kết quả trận đấu từ đồ thị chuyền bóng động, hay Tactical Graph Networks dự đoán khả năng giành lại bóng) đều dừng ở bài toán dự đoán, không có tầng giải thích subgraph hay chỉ số centrality kết hợp XAI.</w:t>
      </w:r>
    </w:p>
    <w:p w:rsidR="00000000" w:rsidDel="00000000" w:rsidP="00000000" w:rsidRDefault="00000000" w:rsidRPr="00000000" w14:paraId="0000002A">
      <w:pPr>
        <w:spacing w:after="160" w:line="300" w:lineRule="auto"/>
        <w:rPr>
          <w:color w:val="000000"/>
        </w:rPr>
      </w:pPr>
      <w:r w:rsidDel="00000000" w:rsidR="00000000" w:rsidRPr="00000000">
        <w:rPr>
          <w:i w:val="1"/>
          <w:iCs w:val="1"/>
          <w:color w:val="000000"/>
          <w:rtl w:val="0"/>
        </w:rPr>
        <w:t xml:space="preserve">Vì không tồn tại baseline end-to-end phù hợp, nhóm xác nhận cần chuyển sang Tầng 2 và Tầng 3, đúng như hướng thầy gợi ý.</w:t>
      </w:r>
      <w:r w:rsidDel="00000000" w:rsidR="00000000" w:rsidRPr="00000000">
        <w:rPr>
          <w:rtl w:val="0"/>
        </w:rPr>
      </w:r>
    </w:p>
    <w:p w:rsidR="00000000" w:rsidDel="00000000" w:rsidP="00000000" w:rsidRDefault="00000000" w:rsidRPr="00000000" w14:paraId="0000002B">
      <w:pPr>
        <w:pStyle w:val="Heading3"/>
        <w:spacing w:after="120" w:before="220" w:lineRule="auto"/>
        <w:rPr>
          <w:color w:val="000000"/>
        </w:rPr>
      </w:pPr>
      <w:r w:rsidDel="00000000" w:rsidR="00000000" w:rsidRPr="00000000">
        <w:rPr>
          <w:color w:val="000000"/>
          <w:rtl w:val="0"/>
        </w:rPr>
        <w:t xml:space="preserve">Tầng 2 – So sánh backbone GNN cho Bài toán 1</w:t>
      </w:r>
    </w:p>
    <w:p w:rsidR="00000000" w:rsidDel="00000000" w:rsidP="00000000" w:rsidRDefault="00000000" w:rsidRPr="00000000" w14:paraId="0000002C">
      <w:pPr>
        <w:spacing w:after="160" w:line="300" w:lineRule="auto"/>
        <w:rPr>
          <w:color w:val="000000"/>
        </w:rPr>
      </w:pPr>
      <w:r w:rsidDel="00000000" w:rsidR="00000000" w:rsidRPr="00000000">
        <w:rPr>
          <w:color w:val="000000"/>
          <w:rtl w:val="0"/>
        </w:rPr>
        <w:t xml:space="preserve">Nhóm giữ nguyên pipeline (possession graph → dự đoán → XAI) và thay đổi kiến trúc backbone để đối sánh công bằng trên cùng dữ liệu, cùng cách chia train/val/test và cùng bộ độ đo ở mục 1.2(a). Các backbone cụ thể được chọn:</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GCN (Graph Convolutional Network) và MPNN (Message Passing Neural Network) – hai kiến trúc đã đề xuất trong báo cáo tiến độ, dùng làm mô hình chính (backbone đề xuất).</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GAT / GATv2 (Graph Attention Network) – baseline đối sánh, có cơ chế attention giúp mô hình tự học trọng số quan trọng giữa các cạnh chuyền bóng; TacticAI đã cho thấy GATv2 cân bằng tốt giữa độ biểu diễn và khả năng khái quát hóa trên đồ thị cầu thủ so với MPNN, đây là căn cứ để nhóm đưa GATv2 vào so sánh.</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82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GraphSAGE – baseline bổ sung, đại diện cho hướng lấy mẫu và tổng hợp (sample-and-aggregate), giúp kiểm tra độ nhạy của kết quả với cách tổng hợp thông tin lân cận.</w:t>
      </w:r>
    </w:p>
    <w:p w:rsidR="00000000" w:rsidDel="00000000" w:rsidP="00000000" w:rsidRDefault="00000000" w:rsidRPr="00000000" w14:paraId="00000030">
      <w:pPr>
        <w:spacing w:after="160" w:line="300" w:lineRule="auto"/>
        <w:rPr>
          <w:color w:val="000000"/>
        </w:rPr>
      </w:pPr>
      <w:r w:rsidDel="00000000" w:rsidR="00000000" w:rsidRPr="00000000">
        <w:rPr>
          <w:i w:val="1"/>
          <w:iCs w:val="1"/>
          <w:color w:val="000000"/>
          <w:rtl w:val="0"/>
        </w:rPr>
        <w:t xml:space="preserve">Việc so sánh backbone giúp cô lập biến số kiến trúc, từ đó khẳng định đóng góp không đến từ việc “chọn đúng mô hình mạnh” mà đến từ toàn bộ pipeline dự đoán – giải thích – Hybrid Centrality.</w:t>
      </w:r>
      <w:r w:rsidDel="00000000" w:rsidR="00000000" w:rsidRPr="00000000">
        <w:rPr>
          <w:rtl w:val="0"/>
        </w:rPr>
      </w:r>
    </w:p>
    <w:p w:rsidR="00000000" w:rsidDel="00000000" w:rsidP="00000000" w:rsidRDefault="00000000" w:rsidRPr="00000000" w14:paraId="00000031">
      <w:pPr>
        <w:pStyle w:val="Heading3"/>
        <w:spacing w:after="120" w:before="220" w:lineRule="auto"/>
        <w:rPr>
          <w:color w:val="000000"/>
        </w:rPr>
      </w:pPr>
      <w:r w:rsidDel="00000000" w:rsidR="00000000" w:rsidRPr="00000000">
        <w:rPr>
          <w:color w:val="000000"/>
          <w:rtl w:val="0"/>
        </w:rPr>
        <w:t xml:space="preserve">Tầng 3 – Tách hai nhóm baseline riêng: Dự đoán và XAI</w:t>
      </w:r>
    </w:p>
    <w:p w:rsidR="00000000" w:rsidDel="00000000" w:rsidP="00000000" w:rsidRDefault="00000000" w:rsidRPr="00000000" w14:paraId="00000032">
      <w:pPr>
        <w:spacing w:after="160" w:line="300" w:lineRule="auto"/>
        <w:rPr>
          <w:color w:val="000000"/>
        </w:rPr>
      </w:pPr>
      <w:r w:rsidDel="00000000" w:rsidR="00000000" w:rsidRPr="00000000">
        <w:rPr>
          <w:color w:val="000000"/>
          <w:rtl w:val="0"/>
        </w:rPr>
        <w:t xml:space="preserve">Vì không có mô hình giải đồng thời cả hai bài toán, nhóm tách baseline thành hai nhóm độc lập, đối sánh riêng theo từng bộ độ đo tương ứng ở mục 1.2.</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(a) Nhóm baseline cho Bài toán 1 – Dự đoán: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Ngoài các backbone GNN ở Tầng 2, nhóm bổ sung baseline phi đồ thị (non-graph) để kiểm chứng giá trị gia tăng thực sự của biểu diễn đồ thị: Logistic Regression, Random Forest và Artificial Neural Network huấn luyện trên đặc trưng thống kê trích xuất từ passing path (số lần chuyền, độ dài chuỗi, góc/khoảng cách trung bình...). Cách làm này có tiền lệ trực tiếp trong nghiên cứu “Passing path predicts shooting outcome in football”, vốn dùng chính ba mô hình này trên đặc trưng passing path để dự đoán outcome cú sút – cùng loại bài toán và cùng loại dữ liệu StatsBomb mà nhóm đang sử dụng, nên có thể tái sử dụng như baseline phi đồ thị hợp lý.</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00" w:lineRule="auto"/>
        <w:ind w:left="450" w:right="0" w:hanging="260"/>
        <w:jc w:val="left"/>
        <w:rPr>
          <w:rFonts w:ascii="Times New Roman" w:cs="Times New Roman" w:eastAsia="Times New Roman" w:hAnsi="Times New Roman"/>
          <w:b w:val="0"/>
          <w:bCs w:val="0"/>
          <w:i w:val="0"/>
          <w:iCs w:val="0"/>
          <w:smallCaps w:val="0"/>
          <w:strike w:val="0"/>
          <w:color w:val="000000"/>
          <w:sz w:val="21"/>
          <w:szCs w:val="2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
          <w:szCs w:val="21"/>
          <w:u w:val="none"/>
          <w:shd w:fill="auto" w:val="clear"/>
          <w:vertAlign w:val="baseline"/>
          <w:rtl w:val="0"/>
        </w:rPr>
        <w:t xml:space="preserve">(b) Nhóm baseline cho Bài toán 2 – XAI: </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Nhóm đối sánh nội bộ GNNExplainer và PGExplainer (đã đề xuất trong báo cáo tiến độ) bằng bộ độ đo Fidelity, Sparsity, Stability ở mục 1.2(b). Song song đó, nhóm bổ sung một baseline “không dùng XAI” là centrality mạng truyền thống thuần túy (degree, betweenness, closeness, eigenvector centrality) – đây là các chỉ số đã được dùng phổ biến để xác định cầu thủ trung tâm trong nhiều nghiên cứu passing network. Baseline này dùng để trả lời trực tiếp câu hỏi nghiên cứu ở mục 17 của project context: liệu Hybrid Centrality có cung cấp thông tin vượt trội so với centrality truyền thống hay không. Nhóm cũng cân nhắc SHAP áp dụng trên mô hình phi đồ thị (tương tự cách tiếp cận trong nghiên cứu “Predicting Football Team Performance with Explainable AI”) như một baseline giải thích thay thế, để so sánh giữa explainability ở mức đồ thị (graph-level, do nhóm đề xuất) và explainability ở mức đặc trưng tổng hợp (feature-level, cách tiếp cận phổ biến hiện nay).</w:t>
      </w:r>
    </w:p>
    <w:p w:rsidR="00000000" w:rsidDel="00000000" w:rsidP="00000000" w:rsidRDefault="00000000" w:rsidRPr="00000000" w14:paraId="00000035">
      <w:pPr>
        <w:spacing w:after="160" w:line="300" w:lineRule="auto"/>
        <w:rPr>
          <w:color w:val="000000"/>
        </w:rPr>
      </w:pPr>
      <w:r w:rsidDel="00000000" w:rsidR="00000000" w:rsidRPr="00000000">
        <w:rPr>
          <w:color w:val="000000"/>
          <w:rtl w:val="0"/>
        </w:rPr>
        <w:t xml:space="preserve">Tổng kết: nhóm sẽ triển khai đối sánh theo đúng ba tầng thầy đề xuất, với danh sách baseline cụ thể như trên. Cấu hình chi tiết (siêu tham số, tỉ lệ chia dữ liệu, số lần chạy lặp lại để tính độ ổn định) sẽ được hoàn thiện trong giai đoạn thực nghiệm và báo cáo lại với thầy trước khi chạy chính thức.</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820" w:hanging="2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eyJoZGlkIjoiNGYyYjgwYzExNTVhMWFkMGRlMTVjMWIzNWIyNWNiYTQiLCJ1c2VySWQiOiIxMzkyMTQyNTA0MzAyIn0=</vt:lpwstr>
  </property>
  <property fmtid="{D5CDD505-2E9C-101B-9397-08002B2CF9AE}" pid="3" name="KSOProductBuildVer">
    <vt:lpwstr>1033-12.1.0.28485</vt:lpwstr>
  </property>
  <property fmtid="{D5CDD505-2E9C-101B-9397-08002B2CF9AE}" pid="4" name="ICV">
    <vt:lpwstr>5A942B3AF42D44B9ABA3AFA4EDB9CF6E_12</vt:lpwstr>
  </property>
</Properties>
</file>