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864"/>
          <w:sz w:val="38"/>
        </w:rPr>
        <w:t>BÁO CÁO KHẢO SÁT NGUỒN DỮ LIỆU</w:t>
      </w:r>
    </w:p>
    <w:p>
      <w:pPr>
        <w:spacing w:after="40"/>
        <w:jc w:val="center"/>
      </w:pPr>
      <w:r>
        <w:rPr>
          <w:b w:val="0"/>
          <w:i w:val="0"/>
          <w:sz w:val="24"/>
        </w:rPr>
        <w:t>Đề tài: Hệ thống trí tuệ nhân tạo có thể giải thích (XAI) trong bài toán đánh giá và khám phá tri thức thể thao</w:t>
      </w:r>
    </w:p>
    <w:p>
      <w:pPr>
        <w:spacing w:after="240"/>
        <w:jc w:val="center"/>
      </w:pPr>
      <w:r>
        <w:rPr>
          <w:b w:val="0"/>
          <w:i/>
          <w:color w:val="595959"/>
          <w:sz w:val="24"/>
        </w:rPr>
        <w:t>Hướng nghiên cứu: Mạng chuyền bóng và phân tích chiến thuật bóng đá bằng Graph Neural Network (GNN) kết hợp XAI</w:t>
      </w:r>
    </w:p>
    <w:tbl>
      <w:tblPr>
        <w:tblStyle w:val="TableGrid"/>
        <w:tblW w:type="auto" w:w="0"/>
        <w:jc w:val="center"/>
        <w:tblLook w:firstColumn="1" w:firstRow="1" w:lastColumn="0" w:lastRow="0" w:noHBand="0" w:noVBand="1" w:val="04A0"/>
      </w:tblPr>
      <w:tblGrid>
        <w:gridCol w:w="4844"/>
        <w:gridCol w:w="4844"/>
      </w:tblGrid>
      <w:tr>
        <w:tc>
          <w:tcPr>
            <w:tcW w:type="dxa" w:w="2551"/>
            <w:shd w:val="clear" w:color="auto" w:fill="1F3864"/>
          </w:tcPr>
          <w:p>
            <w:pPr>
              <w:spacing w:after="40" w:before="40"/>
            </w:pPr>
            <w:r/>
            <w:r>
              <w:rPr>
                <w:b/>
                <w:color w:val="FFFFFF"/>
                <w:sz w:val="21"/>
              </w:rPr>
              <w:t>Hạng mục</w:t>
            </w:r>
          </w:p>
        </w:tc>
        <w:tc>
          <w:tcPr>
            <w:tcW w:type="dxa" w:w="6520"/>
            <w:shd w:val="clear" w:color="auto" w:fill="1F3864"/>
          </w:tcPr>
          <w:p>
            <w:pPr>
              <w:spacing w:after="40" w:before="40"/>
            </w:pPr>
            <w:r/>
            <w:r>
              <w:rPr>
                <w:b/>
                <w:color w:val="FFFFFF"/>
                <w:sz w:val="21"/>
              </w:rPr>
              <w:t>Nội dung</w:t>
            </w:r>
          </w:p>
        </w:tc>
      </w:tr>
      <w:tr>
        <w:tc>
          <w:tcPr>
            <w:tcW w:type="dxa" w:w="2551"/>
          </w:tcPr>
          <w:p>
            <w:pPr>
              <w:spacing w:after="40" w:before="40"/>
            </w:pPr>
            <w:r/>
            <w:r>
              <w:rPr>
                <w:b w:val="0"/>
                <w:sz w:val="21"/>
              </w:rPr>
              <w:t>Ngày lập</w:t>
            </w:r>
          </w:p>
        </w:tc>
        <w:tc>
          <w:tcPr>
            <w:tcW w:type="dxa" w:w="6520"/>
          </w:tcPr>
          <w:p>
            <w:pPr>
              <w:spacing w:after="40" w:before="40"/>
            </w:pPr>
            <w:r/>
            <w:r>
              <w:rPr>
                <w:b w:val="0"/>
                <w:sz w:val="21"/>
              </w:rPr>
              <w:t>04/09/2026</w:t>
            </w:r>
          </w:p>
        </w:tc>
      </w:tr>
      <w:tr>
        <w:tc>
          <w:tcPr>
            <w:tcW w:type="dxa" w:w="2551"/>
            <w:shd w:val="clear" w:color="auto" w:fill="EEF2F8"/>
          </w:tcPr>
          <w:p>
            <w:pPr>
              <w:spacing w:after="40" w:before="40"/>
            </w:pPr>
            <w:r/>
            <w:r>
              <w:rPr>
                <w:b w:val="0"/>
                <w:sz w:val="21"/>
              </w:rPr>
              <w:t>Trạng thái</w:t>
            </w:r>
          </w:p>
        </w:tc>
        <w:tc>
          <w:tcPr>
            <w:tcW w:type="dxa" w:w="6520"/>
            <w:shd w:val="clear" w:color="auto" w:fill="EEF2F8"/>
          </w:tcPr>
          <w:p>
            <w:pPr>
              <w:spacing w:after="40" w:before="40"/>
            </w:pPr>
            <w:r/>
            <w:r>
              <w:rPr>
                <w:b w:val="0"/>
                <w:sz w:val="21"/>
              </w:rPr>
              <w:t>Đề xuất — chờ trao đổi với giảng viên hướng dẫn</w:t>
            </w:r>
          </w:p>
        </w:tc>
      </w:tr>
      <w:tr>
        <w:tc>
          <w:tcPr>
            <w:tcW w:type="dxa" w:w="2551"/>
          </w:tcPr>
          <w:p>
            <w:pPr>
              <w:spacing w:after="40" w:before="40"/>
            </w:pPr>
            <w:r/>
            <w:r>
              <w:rPr>
                <w:b w:val="0"/>
                <w:sz w:val="21"/>
              </w:rPr>
              <w:t>Tài liệu liên quan</w:t>
            </w:r>
          </w:p>
        </w:tc>
        <w:tc>
          <w:tcPr>
            <w:tcW w:type="dxa" w:w="6520"/>
          </w:tcPr>
          <w:p>
            <w:pPr>
              <w:spacing w:after="40" w:before="40"/>
            </w:pPr>
            <w:r/>
            <w:r>
              <w:rPr>
                <w:b w:val="0"/>
                <w:sz w:val="21"/>
              </w:rPr>
              <w:t>Quy_trinh_XAI_Football.md (Bước 1)</w:t>
            </w:r>
          </w:p>
          <w:p>
            <w:pPr>
              <w:spacing w:after="40"/>
            </w:pPr>
            <w:r>
              <w:rPr>
                <w:b w:val="0"/>
                <w:sz w:val="21"/>
              </w:rPr>
              <w:t>XAI-Football_Project_Content.md (mục 6, 19)</w:t>
            </w:r>
          </w:p>
        </w:tc>
      </w:tr>
      <w:tr>
        <w:tc>
          <w:tcPr>
            <w:tcW w:type="dxa" w:w="2551"/>
            <w:shd w:val="clear" w:color="auto" w:fill="EEF2F8"/>
          </w:tcPr>
          <w:p>
            <w:pPr>
              <w:spacing w:after="40" w:before="40"/>
            </w:pPr>
            <w:r/>
            <w:r>
              <w:rPr>
                <w:b w:val="0"/>
                <w:sz w:val="21"/>
              </w:rPr>
              <w:t>Ảnh hưởng tới</w:t>
            </w:r>
          </w:p>
        </w:tc>
        <w:tc>
          <w:tcPr>
            <w:tcW w:type="dxa" w:w="6520"/>
            <w:shd w:val="clear" w:color="auto" w:fill="EEF2F8"/>
          </w:tcPr>
          <w:p>
            <w:pPr>
              <w:spacing w:after="40" w:before="40"/>
            </w:pPr>
            <w:r/>
            <w:r>
              <w:rPr>
                <w:b w:val="0"/>
                <w:sz w:val="21"/>
              </w:rPr>
              <w:t>configs/data.yaml; quyết định 0001 (quy tắc gán nhãn);</w:t>
            </w:r>
          </w:p>
          <w:p>
            <w:pPr>
              <w:spacing w:after="40"/>
            </w:pPr>
            <w:r>
              <w:rPr>
                <w:b w:val="0"/>
                <w:sz w:val="21"/>
              </w:rPr>
              <w:t>thiết kế node feature ở Bước 3.1</w:t>
            </w:r>
          </w:p>
        </w:tc>
      </w:tr>
    </w:tbl>
    <w:p>
      <w:pPr>
        <w:spacing w:after="80"/>
      </w:pPr>
    </w:p>
    <w:p>
      <w:pPr>
        <w:pStyle w:val="Heading1"/>
      </w:pPr>
      <w:r>
        <w:t>Mục lục</w:t>
      </w:r>
    </w:p>
    <w:p>
      <w:r>
        <w:rPr>
          <w:i/>
          <w:color w:val="595959"/>
          <w:sz w:val="22"/>
        </w:rPr>
        <w:fldChar w:fldCharType="begin"/>
        <w:instrText xml:space="preserve">TOC \o "1-2" \h \z \u</w:instrText>
        <w:fldChar w:fldCharType="separate"/>
        <w:t>Nhấn Ctrl+A rồi F9 để hiển thị mục lục.</w:t>
        <w:fldChar w:fldCharType="end"/>
      </w:r>
    </w:p>
    <w:p>
      <w:r>
        <w:br w:type="page"/>
      </w:r>
    </w:p>
    <w:p>
      <w:pPr>
        <w:pStyle w:val="Heading1"/>
      </w:pPr>
      <w:r>
        <w:t>Tóm tắt</w:t>
      </w:r>
    </w:p>
    <w:p>
      <w:pPr>
        <w:spacing w:after="120"/>
      </w:pPr>
      <w:r>
        <w:rPr>
          <w:b w:val="0"/>
          <w:i w:val="0"/>
          <w:sz w:val="24"/>
        </w:rPr>
        <w:t>Khi kiểm chứng trực tiếp nguồn dữ liệu ghi trong báo cáo tiến độ ngày 01/09/2026, phát hiện kế hoạch dữ liệu hiện tại chỉ cho khoảng 50 trận đấu, không phải toàn mùa giải như giả định ban đầu. Cỡ mẫu này không đủ để thực hiện chiến lược đối sánh ba tầng đã cam kết với giảng viên.</w:t>
      </w:r>
    </w:p>
    <w:p>
      <w:pPr>
        <w:spacing w:after="120"/>
      </w:pPr>
      <w:r>
        <w:rPr>
          <w:b w:val="0"/>
          <w:i w:val="0"/>
          <w:sz w:val="24"/>
        </w:rPr>
        <w:t>Tài liệu này đề xuất thay bằng hai bộ dữ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val="clear" w:color="auto" w:fill="1F3864"/>
          </w:tcPr>
          <w:p>
            <w:pPr>
              <w:spacing w:after="40" w:before="40"/>
            </w:pPr>
            <w:r/>
            <w:r>
              <w:rPr>
                <w:b/>
                <w:color w:val="FFFFFF"/>
                <w:sz w:val="21"/>
              </w:rPr>
            </w:r>
          </w:p>
        </w:tc>
        <w:tc>
          <w:tcPr>
            <w:tcW w:type="dxa" w:w="3402"/>
            <w:shd w:val="clear" w:color="auto" w:fill="1F3864"/>
          </w:tcPr>
          <w:p>
            <w:pPr>
              <w:spacing w:after="40" w:before="40"/>
            </w:pPr>
            <w:r/>
            <w:r>
              <w:rPr>
                <w:b/>
                <w:color w:val="FFFFFF"/>
                <w:sz w:val="21"/>
              </w:rPr>
              <w:t>Bộ dữ liệu</w:t>
            </w:r>
          </w:p>
        </w:tc>
        <w:tc>
          <w:tcPr>
            <w:tcW w:type="dxa" w:w="3118"/>
            <w:shd w:val="clear" w:color="auto" w:fill="1F3864"/>
          </w:tcPr>
          <w:p>
            <w:pPr>
              <w:spacing w:after="40" w:before="40"/>
            </w:pPr>
            <w:r/>
            <w:r>
              <w:rPr>
                <w:b/>
                <w:color w:val="FFFFFF"/>
                <w:sz w:val="21"/>
              </w:rPr>
              <w:t>Vai trò trong đề tài</w:t>
            </w:r>
          </w:p>
        </w:tc>
        <w:tc>
          <w:tcPr>
            <w:tcW w:type="dxa" w:w="1701"/>
            <w:shd w:val="clear" w:color="auto" w:fill="1F3864"/>
          </w:tcPr>
          <w:p>
            <w:pPr>
              <w:spacing w:after="40" w:before="40"/>
            </w:pPr>
            <w:r/>
            <w:r>
              <w:rPr>
                <w:b/>
                <w:color w:val="FFFFFF"/>
                <w:sz w:val="21"/>
              </w:rPr>
              <w:t>Cỡ mẫu</w:t>
            </w:r>
          </w:p>
        </w:tc>
      </w:tr>
      <w:tr>
        <w:tc>
          <w:tcPr>
            <w:tcW w:type="dxa" w:w="567"/>
          </w:tcPr>
          <w:p>
            <w:pPr>
              <w:spacing w:after="40" w:before="40"/>
            </w:pPr>
            <w:r/>
            <w:r>
              <w:rPr>
                <w:b w:val="0"/>
                <w:sz w:val="21"/>
              </w:rPr>
              <w:t>①</w:t>
            </w:r>
          </w:p>
        </w:tc>
        <w:tc>
          <w:tcPr>
            <w:tcW w:type="dxa" w:w="3402"/>
          </w:tcPr>
          <w:p>
            <w:pPr>
              <w:spacing w:after="40" w:before="40"/>
            </w:pPr>
            <w:r/>
            <w:r>
              <w:rPr>
                <w:b w:val="0"/>
                <w:sz w:val="21"/>
              </w:rPr>
              <w:t>StatsBomb Open Data — Big-5 mùa 2015/16</w:t>
            </w:r>
          </w:p>
        </w:tc>
        <w:tc>
          <w:tcPr>
            <w:tcW w:type="dxa" w:w="3118"/>
          </w:tcPr>
          <w:p>
            <w:pPr>
              <w:spacing w:after="40" w:before="40"/>
            </w:pPr>
            <w:r/>
            <w:r>
              <w:rPr>
                <w:b w:val="0"/>
                <w:sz w:val="21"/>
              </w:rPr>
              <w:t>Huấn luyện và đánh giá chính</w:t>
            </w:r>
          </w:p>
        </w:tc>
        <w:tc>
          <w:tcPr>
            <w:tcW w:type="dxa" w:w="1701"/>
          </w:tcPr>
          <w:p>
            <w:pPr>
              <w:spacing w:after="40" w:before="40"/>
            </w:pPr>
            <w:r/>
            <w:r>
              <w:rPr>
                <w:b w:val="0"/>
                <w:sz w:val="21"/>
              </w:rPr>
              <w:t>~1.517 trận</w:t>
            </w:r>
          </w:p>
        </w:tc>
      </w:tr>
      <w:tr>
        <w:tc>
          <w:tcPr>
            <w:tcW w:type="dxa" w:w="567"/>
            <w:shd w:val="clear" w:color="auto" w:fill="EEF2F8"/>
          </w:tcPr>
          <w:p>
            <w:pPr>
              <w:spacing w:after="40" w:before="40"/>
            </w:pPr>
            <w:r/>
            <w:r>
              <w:rPr>
                <w:b w:val="0"/>
                <w:sz w:val="21"/>
              </w:rPr>
              <w:t>②</w:t>
            </w:r>
          </w:p>
        </w:tc>
        <w:tc>
          <w:tcPr>
            <w:tcW w:type="dxa" w:w="3402"/>
            <w:shd w:val="clear" w:color="auto" w:fill="EEF2F8"/>
          </w:tcPr>
          <w:p>
            <w:pPr>
              <w:spacing w:after="40" w:before="40"/>
            </w:pPr>
            <w:r/>
            <w:r>
              <w:rPr>
                <w:b w:val="0"/>
                <w:sz w:val="21"/>
              </w:rPr>
              <w:t>Wyscout / Pappalardo et al. 2019 (Scientific Data)</w:t>
            </w:r>
          </w:p>
        </w:tc>
        <w:tc>
          <w:tcPr>
            <w:tcW w:type="dxa" w:w="3118"/>
            <w:shd w:val="clear" w:color="auto" w:fill="EEF2F8"/>
          </w:tcPr>
          <w:p>
            <w:pPr>
              <w:spacing w:after="40" w:before="40"/>
            </w:pPr>
            <w:r/>
            <w:r>
              <w:rPr>
                <w:b w:val="0"/>
                <w:sz w:val="21"/>
              </w:rPr>
              <w:t>Kiểm chứng chéo nhà cung cấp</w:t>
            </w:r>
          </w:p>
        </w:tc>
        <w:tc>
          <w:tcPr>
            <w:tcW w:type="dxa" w:w="1701"/>
            <w:shd w:val="clear" w:color="auto" w:fill="EEF2F8"/>
          </w:tcPr>
          <w:p>
            <w:pPr>
              <w:spacing w:after="40" w:before="40"/>
            </w:pPr>
            <w:r/>
            <w:r>
              <w:rPr>
                <w:b w:val="0"/>
                <w:sz w:val="21"/>
              </w:rPr>
              <w:t>1.941 trận</w:t>
            </w:r>
          </w:p>
        </w:tc>
      </w:tr>
    </w:tbl>
    <w:p>
      <w:pPr>
        <w:spacing w:after="80"/>
      </w:pPr>
    </w:p>
    <w:p>
      <w:pPr>
        <w:spacing w:after="120"/>
      </w:pPr>
      <w:r>
        <w:rPr>
          <w:b w:val="0"/>
          <w:i w:val="0"/>
          <w:sz w:val="24"/>
        </w:rPr>
        <w:t>Cặp dữ liệu này không chỉ giải quyết vấn đề cỡ mẫu, mà còn bổ sung một trục đóng góp khoa học mới mà kế hoạch cũ không có: kiểm chứng khả năng khái quát hóa của chỉ số Hybrid Centrality qua hai nhà cung cấp dữ liệu độc lập.</w:t>
      </w:r>
    </w:p>
    <w:p>
      <w:pPr>
        <w:pStyle w:val="Heading1"/>
      </w:pPr>
      <w:r>
        <w:t>1. Vấn đề phát hiện ở kế hoạch dữ liệu hiện tại</w:t>
      </w:r>
    </w:p>
    <w:p>
      <w:pPr>
        <w:pStyle w:val="Heading2"/>
      </w:pPr>
      <w:r>
        <w:t>1.1. Giả định trong báo cáo so với thực tế</w:t>
      </w:r>
    </w:p>
    <w:p>
      <w:pPr>
        <w:spacing w:after="120"/>
      </w:pPr>
      <w:r>
        <w:rPr>
          <w:b w:val="0"/>
          <w:i w:val="0"/>
          <w:sz w:val="24"/>
        </w:rPr>
        <w:t>Báo cáo tiến độ và tài liệu bối cảnh dự án đều ghi nguồn dữ liệu là StatsBomb Open Data — Bundesliga 2023/24 và UEFA Champions League, trong đó quy trình thực hiện mô tả rõ “Bundesliga 2023/24 (toàn bộ mùa giải)”.</w:t>
      </w:r>
    </w:p>
    <w:p>
      <w:pPr>
        <w:spacing w:after="120"/>
      </w:pPr>
      <w:r>
        <w:rPr>
          <w:b w:val="0"/>
          <w:i w:val="0"/>
          <w:sz w:val="24"/>
        </w:rPr>
        <w:t>Kết quả kiểm chứng trực tiếp trên kho statsbomb/open-data:</w:t>
      </w:r>
    </w:p>
    <w:tbl>
      <w:tblPr>
        <w:tblStyle w:val="TableGrid"/>
        <w:tblW w:type="auto" w:w="0"/>
        <w:jc w:val="center"/>
        <w:tblLook w:firstColumn="1" w:firstRow="1" w:lastColumn="0" w:lastRow="0" w:noHBand="0" w:noVBand="1" w:val="04A0"/>
      </w:tblPr>
      <w:tblGrid>
        <w:gridCol w:w="3230"/>
        <w:gridCol w:w="3230"/>
        <w:gridCol w:w="3230"/>
      </w:tblGrid>
      <w:tr>
        <w:tc>
          <w:tcPr>
            <w:tcW w:type="dxa" w:w="2551"/>
            <w:shd w:val="clear" w:color="auto" w:fill="1F3864"/>
          </w:tcPr>
          <w:p>
            <w:pPr>
              <w:spacing w:after="40" w:before="40"/>
            </w:pPr>
            <w:r/>
            <w:r>
              <w:rPr>
                <w:b/>
                <w:color w:val="FFFFFF"/>
                <w:sz w:val="21"/>
              </w:rPr>
              <w:t>Nguồn ghi trong báo cáo</w:t>
            </w:r>
          </w:p>
        </w:tc>
        <w:tc>
          <w:tcPr>
            <w:tcW w:type="dxa" w:w="2551"/>
            <w:shd w:val="clear" w:color="auto" w:fill="1F3864"/>
          </w:tcPr>
          <w:p>
            <w:pPr>
              <w:spacing w:after="40" w:before="40"/>
            </w:pPr>
            <w:r/>
            <w:r>
              <w:rPr>
                <w:b/>
                <w:color w:val="FFFFFF"/>
                <w:sz w:val="21"/>
              </w:rPr>
              <w:t>Thực tế</w:t>
            </w:r>
          </w:p>
        </w:tc>
        <w:tc>
          <w:tcPr>
            <w:tcW w:type="dxa" w:w="3969"/>
            <w:shd w:val="clear" w:color="auto" w:fill="1F3864"/>
          </w:tcPr>
          <w:p>
            <w:pPr>
              <w:spacing w:after="40" w:before="40"/>
            </w:pPr>
            <w:r/>
            <w:r>
              <w:rPr>
                <w:b/>
                <w:color w:val="FFFFFF"/>
                <w:sz w:val="21"/>
              </w:rPr>
              <w:t>Bằng chứng</w:t>
            </w:r>
          </w:p>
        </w:tc>
      </w:tr>
      <w:tr>
        <w:tc>
          <w:tcPr>
            <w:tcW w:type="dxa" w:w="2551"/>
          </w:tcPr>
          <w:p>
            <w:pPr>
              <w:spacing w:after="40" w:before="40"/>
            </w:pPr>
            <w:r/>
            <w:r>
              <w:rPr>
                <w:b w:val="0"/>
                <w:sz w:val="21"/>
              </w:rPr>
              <w:t>Bundesliga 2023/24, toàn bộ mùa giải (306 trận)</w:t>
            </w:r>
          </w:p>
        </w:tc>
        <w:tc>
          <w:tcPr>
            <w:tcW w:type="dxa" w:w="2551"/>
          </w:tcPr>
          <w:p>
            <w:pPr>
              <w:spacing w:after="40" w:before="40"/>
            </w:pPr>
            <w:r/>
            <w:r>
              <w:rPr>
                <w:b w:val="0"/>
                <w:sz w:val="21"/>
              </w:rPr>
              <w:t>34 trận, chỉ gồm các trận có Bayer Leverkusen thi đấu</w:t>
            </w:r>
          </w:p>
        </w:tc>
        <w:tc>
          <w:tcPr>
            <w:tcW w:type="dxa" w:w="3969"/>
          </w:tcPr>
          <w:p>
            <w:pPr>
              <w:spacing w:after="40" w:before="40"/>
            </w:pPr>
            <w:r/>
            <w:r>
              <w:rPr>
                <w:b w:val="0"/>
                <w:sz w:val="21"/>
              </w:rPr>
              <w:t>data/matches/9/281.json — 63.079 byte; đội Bayer Leverkusen (team_id 904) xuất hiện ở mọi trận</w:t>
            </w:r>
          </w:p>
        </w:tc>
      </w:tr>
      <w:tr>
        <w:tc>
          <w:tcPr>
            <w:tcW w:type="dxa" w:w="2551"/>
            <w:shd w:val="clear" w:color="auto" w:fill="EEF2F8"/>
          </w:tcPr>
          <w:p>
            <w:pPr>
              <w:spacing w:after="40" w:before="40"/>
            </w:pPr>
            <w:r/>
            <w:r>
              <w:rPr>
                <w:b w:val="0"/>
                <w:sz w:val="21"/>
              </w:rPr>
              <w:t>UEFA Champions League, các mùa có sẵn</w:t>
            </w:r>
          </w:p>
        </w:tc>
        <w:tc>
          <w:tcPr>
            <w:tcW w:type="dxa" w:w="2551"/>
            <w:shd w:val="clear" w:color="auto" w:fill="EEF2F8"/>
          </w:tcPr>
          <w:p>
            <w:pPr>
              <w:spacing w:after="40" w:before="40"/>
            </w:pPr>
            <w:r/>
            <w:r>
              <w:rPr>
                <w:b w:val="0"/>
                <w:sz w:val="21"/>
              </w:rPr>
              <w:t>Chỉ trận chung kết của mỗi mùa</w:t>
            </w:r>
          </w:p>
        </w:tc>
        <w:tc>
          <w:tcPr>
            <w:tcW w:type="dxa" w:w="3969"/>
            <w:shd w:val="clear" w:color="auto" w:fill="EEF2F8"/>
          </w:tcPr>
          <w:p>
            <w:pPr>
              <w:spacing w:after="40" w:before="40"/>
            </w:pPr>
            <w:r/>
            <w:r>
              <w:rPr>
                <w:b w:val="0"/>
                <w:sz w:val="21"/>
              </w:rPr>
              <w:t>data/matches/16/4.json chứa đúng 1 trận: Tottenham Hotspur – Liverpool, 01/06/2019, competition_stage = "Final"</w:t>
            </w:r>
          </w:p>
        </w:tc>
      </w:tr>
    </w:tbl>
    <w:p>
      <w:pPr>
        <w:spacing w:after="80"/>
      </w:pPr>
    </w:p>
    <w:p>
      <w:pPr>
        <w:spacing w:after="120"/>
      </w:pPr>
      <w:r>
        <w:rPr>
          <w:b w:val="0"/>
          <w:i w:val="0"/>
          <w:sz w:val="24"/>
        </w:rPr>
        <w:t xml:space="preserve">Tổng cộng: </w:t>
      </w:r>
      <w:r>
        <w:rPr>
          <w:b/>
          <w:i w:val="0"/>
          <w:sz w:val="24"/>
        </w:rPr>
        <w:t>34 + ~15 ≈ 50 trận</w:t>
      </w:r>
      <w:r>
        <w:rPr>
          <w:b w:val="0"/>
          <w:i w:val="0"/>
          <w:sz w:val="24"/>
        </w:rPr>
        <w:t>.</w:t>
      </w:r>
    </w:p>
    <w:p>
      <w:pPr>
        <w:pStyle w:val="Heading2"/>
      </w:pPr>
      <w:r>
        <w:t>1.2. Hệ quả về mặt thống kê</w:t>
      </w:r>
    </w:p>
    <w:p>
      <w:pPr>
        <w:spacing w:after="120"/>
      </w:pPr>
      <w:r>
        <w:rPr>
          <w:b w:val="0"/>
          <w:i w:val="0"/>
          <w:sz w:val="24"/>
        </w:rPr>
        <w:t>Áp dụng chia 70/15/15 theo trận như cấu hình hiện tại:</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line="240" w:lineRule="auto"/>
            </w:pPr>
            <w:r/>
            <w:r>
              <w:rPr>
                <w:rFonts w:ascii="Consolas" w:hAnsi="Consolas" w:eastAsia="Consolas"/>
                <w:sz w:val="19"/>
              </w:rPr>
              <w:t>50 trận  -&gt;  train ~35 trận  |  val ~7 trận  |  test ~7 trận</w:t>
            </w:r>
          </w:p>
        </w:tc>
      </w:tr>
    </w:tbl>
    <w:p>
      <w:pPr>
        <w:spacing w:after="80"/>
      </w:pPr>
    </w:p>
    <w:p>
      <w:pPr>
        <w:spacing w:after="120"/>
      </w:pPr>
      <w:r>
        <w:rPr>
          <w:b w:val="0"/>
          <w:i w:val="0"/>
          <w:sz w:val="24"/>
        </w:rPr>
        <w:t>Với 7 trận trong tập test, và với bài toán mất cân bằng lớp (possession dẫn đến sút là lớp thiểu số), khoảng tin cậy của AUC-PR sẽ rộng đến mức không phân biệt được backbone nào thực sự tốt hơn.</w:t>
      </w:r>
    </w:p>
    <w:p>
      <w:pPr>
        <w:spacing w:after="120"/>
      </w:pPr>
      <w:r>
        <w:rPr>
          <w:b w:val="0"/>
          <w:i w:val="0"/>
          <w:sz w:val="24"/>
        </w:rPr>
        <w:t>Điều này làm hỏng trực tiếp mục đích của Tầng 2 trong chiến lược đối sánh — vốn nhằm cô lập biến số kiến trúc để khẳng định đóng góp không đến từ việc “chọn đúng mô hình mạnh”. Đây không phải vấn đề khắc phục được bằng kỹ thuật; đó là giới hạn cứng của cỡ mẫu.</w:t>
      </w:r>
    </w:p>
    <w:p>
      <w:pPr>
        <w:pStyle w:val="Heading2"/>
      </w:pPr>
      <w:r>
        <w:t>1.3. Bundesliga là ngoại lệ trong StatsBomb Open Data</w:t>
      </w:r>
    </w:p>
    <w:p>
      <w:pPr>
        <w:spacing w:after="120"/>
      </w:pPr>
      <w:r>
        <w:rPr>
          <w:b w:val="0"/>
          <w:i w:val="0"/>
          <w:sz w:val="24"/>
        </w:rPr>
        <w:t>Bundesliga là giải Big-5 duy nhất StatsBomb không mở đầy đủ một mùa giải nào. Xác định bằng cách đối chiếu dung lượng file danh sách trận — tỉ lệ byte trên mỗi trận rất ổn định (khoảng 1.814 byte/trận, hiệu chuẩn từ file Leverkusen 34 trận):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2835"/>
            <w:shd w:val="clear" w:color="auto" w:fill="1F3864"/>
          </w:tcPr>
          <w:p>
            <w:pPr>
              <w:spacing w:after="40" w:before="40"/>
            </w:pPr>
            <w:r/>
            <w:r>
              <w:rPr>
                <w:b/>
                <w:color w:val="FFFFFF"/>
                <w:sz w:val="21"/>
              </w:rPr>
              <w:t>Giải, mùa 2015/16 (season_id = 27)</w:t>
            </w:r>
          </w:p>
        </w:tc>
        <w:tc>
          <w:tcPr>
            <w:tcW w:type="dxa" w:w="1701"/>
            <w:shd w:val="clear" w:color="auto" w:fill="1F3864"/>
          </w:tcPr>
          <w:p>
            <w:pPr>
              <w:spacing w:after="40" w:before="40"/>
            </w:pPr>
            <w:r/>
            <w:r>
              <w:rPr>
                <w:b/>
                <w:color w:val="FFFFFF"/>
                <w:sz w:val="21"/>
              </w:rPr>
              <w:t>File</w:t>
            </w:r>
          </w:p>
        </w:tc>
        <w:tc>
          <w:tcPr>
            <w:tcW w:type="dxa" w:w="1587"/>
            <w:shd w:val="clear" w:color="auto" w:fill="1F3864"/>
          </w:tcPr>
          <w:p>
            <w:pPr>
              <w:spacing w:after="40" w:before="40"/>
            </w:pPr>
            <w:r/>
            <w:r>
              <w:rPr>
                <w:b/>
                <w:color w:val="FFFFFF"/>
                <w:sz w:val="21"/>
              </w:rPr>
              <w:t>Dung lượng</w:t>
            </w:r>
          </w:p>
        </w:tc>
        <w:tc>
          <w:tcPr>
            <w:tcW w:type="dxa" w:w="1474"/>
            <w:shd w:val="clear" w:color="auto" w:fill="1F3864"/>
          </w:tcPr>
          <w:p>
            <w:pPr>
              <w:spacing w:after="40" w:before="40"/>
            </w:pPr>
            <w:r/>
            <w:r>
              <w:rPr>
                <w:b/>
                <w:color w:val="FFFFFF"/>
                <w:sz w:val="21"/>
              </w:rPr>
              <w:t>Số trận suy ra</w:t>
            </w:r>
          </w:p>
        </w:tc>
        <w:tc>
          <w:tcPr>
            <w:tcW w:type="dxa" w:w="1587"/>
            <w:shd w:val="clear" w:color="auto" w:fill="1F3864"/>
          </w:tcPr>
          <w:p>
            <w:pPr>
              <w:spacing w:after="40" w:before="40"/>
            </w:pPr>
            <w:r/>
            <w:r>
              <w:rPr>
                <w:b/>
                <w:color w:val="FFFFFF"/>
                <w:sz w:val="21"/>
              </w:rPr>
              <w:t>Kết luận</w:t>
            </w:r>
          </w:p>
        </w:tc>
      </w:tr>
      <w:tr>
        <w:tc>
          <w:tcPr>
            <w:tcW w:type="dxa" w:w="2835"/>
          </w:tcPr>
          <w:p>
            <w:pPr>
              <w:spacing w:after="40" w:before="40"/>
            </w:pPr>
            <w:r/>
            <w:r>
              <w:rPr>
                <w:b w:val="0"/>
                <w:sz w:val="21"/>
              </w:rPr>
              <w:t>La Liga</w:t>
            </w:r>
          </w:p>
        </w:tc>
        <w:tc>
          <w:tcPr>
            <w:tcW w:type="dxa" w:w="1701"/>
          </w:tcPr>
          <w:p>
            <w:pPr>
              <w:spacing w:after="40" w:before="40"/>
            </w:pPr>
            <w:r/>
            <w:r>
              <w:rPr>
                <w:rFonts w:ascii="Consolas" w:hAnsi="Consolas" w:eastAsia="Consolas"/>
                <w:b w:val="0"/>
                <w:sz w:val="21"/>
              </w:rPr>
              <w:t>11/27.json</w:t>
            </w:r>
          </w:p>
        </w:tc>
        <w:tc>
          <w:tcPr>
            <w:tcW w:type="dxa" w:w="1587"/>
          </w:tcPr>
          <w:p>
            <w:pPr>
              <w:spacing w:after="40" w:before="40"/>
            </w:pPr>
            <w:r/>
            <w:r>
              <w:rPr>
                <w:b w:val="0"/>
                <w:sz w:val="21"/>
              </w:rPr>
              <w:t>702.673 B</w:t>
            </w:r>
          </w:p>
        </w:tc>
        <w:tc>
          <w:tcPr>
            <w:tcW w:type="dxa" w:w="1474"/>
          </w:tcPr>
          <w:p>
            <w:pPr>
              <w:spacing w:after="40" w:before="40"/>
            </w:pPr>
            <w:r/>
            <w:r>
              <w:rPr>
                <w:b w:val="0"/>
                <w:sz w:val="21"/>
              </w:rPr>
              <w:t>~380</w:t>
            </w:r>
          </w:p>
        </w:tc>
        <w:tc>
          <w:tcPr>
            <w:tcW w:type="dxa" w:w="1587"/>
          </w:tcPr>
          <w:p>
            <w:pPr>
              <w:spacing w:after="40" w:before="40"/>
            </w:pPr>
            <w:r/>
            <w:r>
              <w:rPr>
                <w:b w:val="0"/>
                <w:sz w:val="21"/>
              </w:rPr>
              <w:t>Toàn giải ✓</w:t>
            </w:r>
          </w:p>
        </w:tc>
      </w:tr>
      <w:tr>
        <w:tc>
          <w:tcPr>
            <w:tcW w:type="dxa" w:w="2835"/>
            <w:shd w:val="clear" w:color="auto" w:fill="EEF2F8"/>
          </w:tcPr>
          <w:p>
            <w:pPr>
              <w:spacing w:after="40" w:before="40"/>
            </w:pPr>
            <w:r/>
            <w:r>
              <w:rPr>
                <w:b w:val="0"/>
                <w:sz w:val="21"/>
              </w:rPr>
              <w:t>Premier League</w:t>
            </w:r>
          </w:p>
        </w:tc>
        <w:tc>
          <w:tcPr>
            <w:tcW w:type="dxa" w:w="1701"/>
            <w:shd w:val="clear" w:color="auto" w:fill="EEF2F8"/>
          </w:tcPr>
          <w:p>
            <w:pPr>
              <w:spacing w:after="40" w:before="40"/>
            </w:pPr>
            <w:r/>
            <w:r>
              <w:rPr>
                <w:rFonts w:ascii="Consolas" w:hAnsi="Consolas" w:eastAsia="Consolas"/>
                <w:b w:val="0"/>
                <w:sz w:val="21"/>
              </w:rPr>
              <w:t>2/27.json</w:t>
            </w:r>
          </w:p>
        </w:tc>
        <w:tc>
          <w:tcPr>
            <w:tcW w:type="dxa" w:w="1587"/>
            <w:shd w:val="clear" w:color="auto" w:fill="EEF2F8"/>
          </w:tcPr>
          <w:p>
            <w:pPr>
              <w:spacing w:after="40" w:before="40"/>
            </w:pPr>
            <w:r/>
            <w:r>
              <w:rPr>
                <w:b w:val="0"/>
                <w:sz w:val="21"/>
              </w:rPr>
              <w:t>698.179 B</w:t>
            </w:r>
          </w:p>
        </w:tc>
        <w:tc>
          <w:tcPr>
            <w:tcW w:type="dxa" w:w="1474"/>
            <w:shd w:val="clear" w:color="auto" w:fill="EEF2F8"/>
          </w:tcPr>
          <w:p>
            <w:pPr>
              <w:spacing w:after="40" w:before="40"/>
            </w:pPr>
            <w:r/>
            <w:r>
              <w:rPr>
                <w:b w:val="0"/>
                <w:sz w:val="21"/>
              </w:rPr>
              <w:t>~380</w:t>
            </w:r>
          </w:p>
        </w:tc>
        <w:tc>
          <w:tcPr>
            <w:tcW w:type="dxa" w:w="1587"/>
            <w:shd w:val="clear" w:color="auto" w:fill="EEF2F8"/>
          </w:tcPr>
          <w:p>
            <w:pPr>
              <w:spacing w:after="40" w:before="40"/>
            </w:pPr>
            <w:r/>
            <w:r>
              <w:rPr>
                <w:b w:val="0"/>
                <w:sz w:val="21"/>
              </w:rPr>
              <w:t>Toàn giải ✓</w:t>
            </w:r>
          </w:p>
        </w:tc>
      </w:tr>
      <w:tr>
        <w:tc>
          <w:tcPr>
            <w:tcW w:type="dxa" w:w="2835"/>
          </w:tcPr>
          <w:p>
            <w:pPr>
              <w:spacing w:after="40" w:before="40"/>
            </w:pPr>
            <w:r/>
            <w:r>
              <w:rPr>
                <w:b w:val="0"/>
                <w:sz w:val="21"/>
              </w:rPr>
              <w:t>Serie A</w:t>
            </w:r>
          </w:p>
        </w:tc>
        <w:tc>
          <w:tcPr>
            <w:tcW w:type="dxa" w:w="1701"/>
          </w:tcPr>
          <w:p>
            <w:pPr>
              <w:spacing w:after="40" w:before="40"/>
            </w:pPr>
            <w:r/>
            <w:r>
              <w:rPr>
                <w:rFonts w:ascii="Consolas" w:hAnsi="Consolas" w:eastAsia="Consolas"/>
                <w:b w:val="0"/>
                <w:sz w:val="21"/>
              </w:rPr>
              <w:t>12/27.json</w:t>
            </w:r>
          </w:p>
        </w:tc>
        <w:tc>
          <w:tcPr>
            <w:tcW w:type="dxa" w:w="1587"/>
          </w:tcPr>
          <w:p>
            <w:pPr>
              <w:spacing w:after="40" w:before="40"/>
            </w:pPr>
            <w:r/>
            <w:r>
              <w:rPr>
                <w:b w:val="0"/>
                <w:sz w:val="21"/>
              </w:rPr>
              <w:t>686.900 B</w:t>
            </w:r>
          </w:p>
        </w:tc>
        <w:tc>
          <w:tcPr>
            <w:tcW w:type="dxa" w:w="1474"/>
          </w:tcPr>
          <w:p>
            <w:pPr>
              <w:spacing w:after="40" w:before="40"/>
            </w:pPr>
            <w:r/>
            <w:r>
              <w:rPr>
                <w:b w:val="0"/>
                <w:sz w:val="21"/>
              </w:rPr>
              <w:t>~380</w:t>
            </w:r>
          </w:p>
        </w:tc>
        <w:tc>
          <w:tcPr>
            <w:tcW w:type="dxa" w:w="1587"/>
          </w:tcPr>
          <w:p>
            <w:pPr>
              <w:spacing w:after="40" w:before="40"/>
            </w:pPr>
            <w:r/>
            <w:r>
              <w:rPr>
                <w:b w:val="0"/>
                <w:sz w:val="21"/>
              </w:rPr>
              <w:t>Toàn giải ✓</w:t>
            </w:r>
          </w:p>
        </w:tc>
      </w:tr>
      <w:tr>
        <w:tc>
          <w:tcPr>
            <w:tcW w:type="dxa" w:w="2835"/>
            <w:shd w:val="clear" w:color="auto" w:fill="EEF2F8"/>
          </w:tcPr>
          <w:p>
            <w:pPr>
              <w:spacing w:after="40" w:before="40"/>
            </w:pPr>
            <w:r/>
            <w:r>
              <w:rPr>
                <w:b w:val="0"/>
                <w:sz w:val="21"/>
              </w:rPr>
              <w:t>Ligue 1</w:t>
            </w:r>
          </w:p>
        </w:tc>
        <w:tc>
          <w:tcPr>
            <w:tcW w:type="dxa" w:w="1701"/>
            <w:shd w:val="clear" w:color="auto" w:fill="EEF2F8"/>
          </w:tcPr>
          <w:p>
            <w:pPr>
              <w:spacing w:after="40" w:before="40"/>
            </w:pPr>
            <w:r/>
            <w:r>
              <w:rPr>
                <w:rFonts w:ascii="Consolas" w:hAnsi="Consolas" w:eastAsia="Consolas"/>
                <w:b w:val="0"/>
                <w:sz w:val="21"/>
              </w:rPr>
              <w:t>7/27.json</w:t>
            </w:r>
          </w:p>
        </w:tc>
        <w:tc>
          <w:tcPr>
            <w:tcW w:type="dxa" w:w="1587"/>
            <w:shd w:val="clear" w:color="auto" w:fill="EEF2F8"/>
          </w:tcPr>
          <w:p>
            <w:pPr>
              <w:spacing w:after="40" w:before="40"/>
            </w:pPr>
            <w:r/>
            <w:r>
              <w:rPr>
                <w:b w:val="0"/>
                <w:sz w:val="21"/>
              </w:rPr>
              <w:t>667.360 B</w:t>
            </w:r>
          </w:p>
        </w:tc>
        <w:tc>
          <w:tcPr>
            <w:tcW w:type="dxa" w:w="1474"/>
            <w:shd w:val="clear" w:color="auto" w:fill="EEF2F8"/>
          </w:tcPr>
          <w:p>
            <w:pPr>
              <w:spacing w:after="40" w:before="40"/>
            </w:pPr>
            <w:r/>
            <w:r>
              <w:rPr>
                <w:b w:val="0"/>
                <w:sz w:val="21"/>
              </w:rPr>
              <w:t>~377</w:t>
            </w:r>
          </w:p>
        </w:tc>
        <w:tc>
          <w:tcPr>
            <w:tcW w:type="dxa" w:w="1587"/>
            <w:shd w:val="clear" w:color="auto" w:fill="EEF2F8"/>
          </w:tcPr>
          <w:p>
            <w:pPr>
              <w:spacing w:after="40" w:before="40"/>
            </w:pPr>
            <w:r/>
            <w:r>
              <w:rPr>
                <w:b w:val="0"/>
                <w:sz w:val="21"/>
              </w:rPr>
              <w:t>Toàn giải ✓</w:t>
            </w:r>
          </w:p>
        </w:tc>
      </w:tr>
      <w:tr>
        <w:tc>
          <w:tcPr>
            <w:tcW w:type="dxa" w:w="2835"/>
          </w:tcPr>
          <w:p>
            <w:pPr>
              <w:spacing w:after="40" w:before="40"/>
            </w:pPr>
            <w:r/>
            <w:r>
              <w:rPr>
                <w:b w:val="0"/>
                <w:sz w:val="21"/>
              </w:rPr>
              <w:t>Bundesliga</w:t>
            </w:r>
          </w:p>
        </w:tc>
        <w:tc>
          <w:tcPr>
            <w:tcW w:type="dxa" w:w="1701"/>
          </w:tcPr>
          <w:p>
            <w:pPr>
              <w:spacing w:after="40" w:before="40"/>
            </w:pPr>
            <w:r/>
            <w:r>
              <w:rPr>
                <w:rFonts w:ascii="Consolas" w:hAnsi="Consolas" w:eastAsia="Consolas"/>
                <w:b w:val="0"/>
                <w:sz w:val="21"/>
              </w:rPr>
              <w:t>9/27.json</w:t>
            </w:r>
          </w:p>
        </w:tc>
        <w:tc>
          <w:tcPr>
            <w:tcW w:type="dxa" w:w="1587"/>
          </w:tcPr>
          <w:p>
            <w:pPr>
              <w:spacing w:after="40" w:before="40"/>
            </w:pPr>
            <w:r/>
            <w:r>
              <w:rPr>
                <w:b w:val="0"/>
                <w:sz w:val="21"/>
              </w:rPr>
              <w:t>61.666 B</w:t>
            </w:r>
          </w:p>
        </w:tc>
        <w:tc>
          <w:tcPr>
            <w:tcW w:type="dxa" w:w="1474"/>
          </w:tcPr>
          <w:p>
            <w:pPr>
              <w:spacing w:after="40" w:before="40"/>
            </w:pPr>
            <w:r/>
            <w:r>
              <w:rPr>
                <w:b w:val="0"/>
                <w:sz w:val="21"/>
              </w:rPr>
              <w:t>34</w:t>
            </w:r>
          </w:p>
        </w:tc>
        <w:tc>
          <w:tcPr>
            <w:tcW w:type="dxa" w:w="1587"/>
          </w:tcPr>
          <w:p>
            <w:pPr>
              <w:spacing w:after="40" w:before="40"/>
            </w:pPr>
            <w:r/>
            <w:r>
              <w:rPr>
                <w:b w:val="0"/>
                <w:sz w:val="21"/>
              </w:rPr>
              <w:t>Chỉ Leverkusen ✗</w:t>
            </w:r>
          </w:p>
        </w:tc>
      </w:tr>
    </w:tbl>
    <w:p>
      <w:pPr>
        <w:spacing w:after="80"/>
      </w:pPr>
    </w:p>
    <w:p>
      <w:pPr>
        <w:spacing w:after="120"/>
      </w:pPr>
      <w:r>
        <w:rPr>
          <w:b w:val="0"/>
          <w:i w:val="0"/>
          <w:sz w:val="24"/>
        </w:rPr>
        <w:t>Kiểm chứng chéo phương pháp: file 9/27.json khi đọc trực tiếp cho đúng 34 trận, tất cả đều có Leverkusen — khớp với ước lượng từ dung lượng. Tương tự với FA Women's Super League: file 37/90.json (243.008 byte) suy ra khoảng 134 trận, khớp với con số 131 trận thực tế của mùa 2020/21.</w:t>
      </w:r>
    </w:p>
    <w:tbl>
      <w:tblPr>
        <w:tblStyle w:val="TableGrid"/>
        <w:tblW w:type="auto" w:w="0"/>
        <w:tblLook w:firstColumn="1" w:firstRow="1" w:lastColumn="0" w:lastRow="0" w:noHBand="0" w:noVBand="1" w:val="04A0"/>
      </w:tblPr>
      <w:tblGrid>
        <w:gridCol w:w="9689"/>
      </w:tblGrid>
      <w:tr>
        <w:tc>
          <w:tcPr>
            <w:tcW w:type="dxa" w:w="9689"/>
            <w:shd w:val="clear" w:color="auto" w:fill="FFF6E5"/>
          </w:tcPr>
          <w:p>
            <w:pPr>
              <w:spacing w:after="40"/>
            </w:pPr>
            <w:r/>
            <w:r>
              <w:rPr>
                <w:b/>
                <w:sz w:val="22"/>
              </w:rPr>
              <w:t xml:space="preserve">Lưu ý về nguồn thứ cấp: </w:t>
            </w:r>
            <w:r>
              <w:rPr>
                <w:sz w:val="22"/>
              </w:rPr>
              <w:t>Danh mục dataset của Jan Van Haaren ghi “German Bundesliga 2015/16 — 306 matches”. Con số này mâu thuẫn với file gốc (61.666 byte, 34 trận). Khi viết khóa luận, chỉ trích dẫn số liệu đã tự kiểm chứng từ kho dữ liệu gốc, không dẫn lại số liệu từ trang tổng hợp.</w:t>
            </w:r>
          </w:p>
        </w:tc>
      </w:tr>
    </w:tbl>
    <w:p>
      <w:pPr>
        <w:spacing w:after="80"/>
      </w:pPr>
    </w:p>
    <w:p>
      <w:pPr>
        <w:pStyle w:val="Heading1"/>
      </w:pPr>
      <w:r>
        <w:t>2. Tiêu chí lựa chọn</w:t>
      </w:r>
    </w:p>
    <w:p>
      <w:pPr>
        <w:spacing w:after="120"/>
      </w:pPr>
      <w:r>
        <w:rPr>
          <w:b w:val="0"/>
          <w:i w:val="0"/>
          <w:sz w:val="24"/>
        </w:rPr>
        <w:t>Các tiêu chí dưới đây được xác định trước khi khảo sát, để việc lựa chọn không bị dẫn dắt bởi bộ dữ liệu tình cờ tìm thấy.</w:t>
      </w:r>
    </w:p>
    <w:tbl>
      <w:tblPr>
        <w:tblStyle w:val="TableGrid"/>
        <w:tblW w:type="auto" w:w="0"/>
        <w:jc w:val="center"/>
        <w:tblLook w:firstColumn="1" w:firstRow="1" w:lastColumn="0" w:lastRow="0" w:noHBand="0" w:noVBand="1" w:val="04A0"/>
      </w:tblPr>
      <w:tblGrid>
        <w:gridCol w:w="3230"/>
        <w:gridCol w:w="3230"/>
        <w:gridCol w:w="3230"/>
      </w:tblGrid>
      <w:tr>
        <w:tc>
          <w:tcPr>
            <w:tcW w:type="dxa" w:w="567"/>
            <w:shd w:val="clear" w:color="auto" w:fill="1F3864"/>
          </w:tcPr>
          <w:p>
            <w:pPr>
              <w:spacing w:after="40" w:before="40"/>
            </w:pPr>
            <w:r/>
            <w:r>
              <w:rPr>
                <w:b/>
                <w:color w:val="FFFFFF"/>
                <w:sz w:val="21"/>
              </w:rPr>
              <w:t>#</w:t>
            </w:r>
          </w:p>
        </w:tc>
        <w:tc>
          <w:tcPr>
            <w:tcW w:type="dxa" w:w="3685"/>
            <w:shd w:val="clear" w:color="auto" w:fill="1F3864"/>
          </w:tcPr>
          <w:p>
            <w:pPr>
              <w:spacing w:after="40" w:before="40"/>
            </w:pPr>
            <w:r/>
            <w:r>
              <w:rPr>
                <w:b/>
                <w:color w:val="FFFFFF"/>
                <w:sz w:val="21"/>
              </w:rPr>
              <w:t>Tiêu chí</w:t>
            </w:r>
          </w:p>
        </w:tc>
        <w:tc>
          <w:tcPr>
            <w:tcW w:type="dxa" w:w="4819"/>
            <w:shd w:val="clear" w:color="auto" w:fill="1F3864"/>
          </w:tcPr>
          <w:p>
            <w:pPr>
              <w:spacing w:after="40" w:before="40"/>
            </w:pPr>
            <w:r/>
            <w:r>
              <w:rPr>
                <w:b/>
                <w:color w:val="FFFFFF"/>
                <w:sz w:val="21"/>
              </w:rPr>
              <w:t>Vì sao bắt buộc</w:t>
            </w:r>
          </w:p>
        </w:tc>
      </w:tr>
      <w:tr>
        <w:tc>
          <w:tcPr>
            <w:tcW w:type="dxa" w:w="567"/>
          </w:tcPr>
          <w:p>
            <w:pPr>
              <w:spacing w:after="40" w:before="40"/>
            </w:pPr>
            <w:r/>
            <w:r>
              <w:rPr>
                <w:b w:val="0"/>
                <w:sz w:val="21"/>
              </w:rPr>
              <w:t>1</w:t>
            </w:r>
          </w:p>
        </w:tc>
        <w:tc>
          <w:tcPr>
            <w:tcW w:type="dxa" w:w="3685"/>
          </w:tcPr>
          <w:p>
            <w:pPr>
              <w:spacing w:after="40" w:before="40"/>
            </w:pPr>
            <w:r/>
            <w:r>
              <w:rPr>
                <w:b w:val="0"/>
                <w:sz w:val="21"/>
              </w:rPr>
              <w:t>Là event data có định danh cầu thủ</w:t>
            </w:r>
          </w:p>
        </w:tc>
        <w:tc>
          <w:tcPr>
            <w:tcW w:type="dxa" w:w="4819"/>
          </w:tcPr>
          <w:p>
            <w:pPr>
              <w:spacing w:after="40" w:before="40"/>
            </w:pPr>
            <w:r/>
            <w:r>
              <w:rPr>
                <w:b w:val="0"/>
                <w:sz w:val="21"/>
              </w:rPr>
              <w:t>Đỉnh đồ thị là cầu thủ (Bước 3.1)</w:t>
            </w:r>
          </w:p>
        </w:tc>
      </w:tr>
      <w:tr>
        <w:tc>
          <w:tcPr>
            <w:tcW w:type="dxa" w:w="567"/>
            <w:shd w:val="clear" w:color="auto" w:fill="EEF2F8"/>
          </w:tcPr>
          <w:p>
            <w:pPr>
              <w:spacing w:after="40" w:before="40"/>
            </w:pPr>
            <w:r/>
            <w:r>
              <w:rPr>
                <w:b w:val="0"/>
                <w:sz w:val="21"/>
              </w:rPr>
              <w:t>2</w:t>
            </w:r>
          </w:p>
        </w:tc>
        <w:tc>
          <w:tcPr>
            <w:tcW w:type="dxa" w:w="3685"/>
            <w:shd w:val="clear" w:color="auto" w:fill="EEF2F8"/>
          </w:tcPr>
          <w:p>
            <w:pPr>
              <w:spacing w:after="40" w:before="40"/>
            </w:pPr>
            <w:r/>
            <w:r>
              <w:rPr>
                <w:b w:val="0"/>
                <w:sz w:val="21"/>
              </w:rPr>
              <w:t>Đường chuyền xác định được người nhận</w:t>
            </w:r>
          </w:p>
        </w:tc>
        <w:tc>
          <w:tcPr>
            <w:tcW w:type="dxa" w:w="4819"/>
            <w:shd w:val="clear" w:color="auto" w:fill="EEF2F8"/>
          </w:tcPr>
          <w:p>
            <w:pPr>
              <w:spacing w:after="40" w:before="40"/>
            </w:pPr>
            <w:r/>
            <w:r>
              <w:rPr>
                <w:b w:val="0"/>
                <w:sz w:val="21"/>
              </w:rPr>
              <w:t>Cạnh có hướng A→B; thiếu trường này thì không dựng được đồ thị</w:t>
            </w:r>
          </w:p>
        </w:tc>
      </w:tr>
      <w:tr>
        <w:tc>
          <w:tcPr>
            <w:tcW w:type="dxa" w:w="567"/>
          </w:tcPr>
          <w:p>
            <w:pPr>
              <w:spacing w:after="40" w:before="40"/>
            </w:pPr>
            <w:r/>
            <w:r>
              <w:rPr>
                <w:b w:val="0"/>
                <w:sz w:val="21"/>
              </w:rPr>
              <w:t>3</w:t>
            </w:r>
          </w:p>
        </w:tc>
        <w:tc>
          <w:tcPr>
            <w:tcW w:type="dxa" w:w="3685"/>
          </w:tcPr>
          <w:p>
            <w:pPr>
              <w:spacing w:after="40" w:before="40"/>
            </w:pPr>
            <w:r/>
            <w:r>
              <w:rPr>
                <w:b w:val="0"/>
                <w:sz w:val="21"/>
              </w:rPr>
              <w:t>Có tọa độ điểm chuyền đi và điểm nhận</w:t>
            </w:r>
          </w:p>
        </w:tc>
        <w:tc>
          <w:tcPr>
            <w:tcW w:type="dxa" w:w="4819"/>
          </w:tcPr>
          <w:p>
            <w:pPr>
              <w:spacing w:after="40" w:before="40"/>
            </w:pPr>
            <w:r/>
            <w:r>
              <w:rPr>
                <w:b w:val="0"/>
                <w:sz w:val="21"/>
              </w:rPr>
              <w:t>Đặc trưng cạnh (Bước 3.2)</w:t>
            </w:r>
          </w:p>
        </w:tc>
      </w:tr>
      <w:tr>
        <w:tc>
          <w:tcPr>
            <w:tcW w:type="dxa" w:w="567"/>
            <w:shd w:val="clear" w:color="auto" w:fill="EEF2F8"/>
          </w:tcPr>
          <w:p>
            <w:pPr>
              <w:spacing w:after="40" w:before="40"/>
            </w:pPr>
            <w:r/>
            <w:r>
              <w:rPr>
                <w:b w:val="0"/>
                <w:sz w:val="21"/>
              </w:rPr>
              <w:t>4</w:t>
            </w:r>
          </w:p>
        </w:tc>
        <w:tc>
          <w:tcPr>
            <w:tcW w:type="dxa" w:w="3685"/>
            <w:shd w:val="clear" w:color="auto" w:fill="EEF2F8"/>
          </w:tcPr>
          <w:p>
            <w:pPr>
              <w:spacing w:after="40" w:before="40"/>
            </w:pPr>
            <w:r/>
            <w:r>
              <w:rPr>
                <w:b w:val="0"/>
                <w:sz w:val="21"/>
              </w:rPr>
              <w:t>Nhóm được thành possession sequence</w:t>
            </w:r>
          </w:p>
        </w:tc>
        <w:tc>
          <w:tcPr>
            <w:tcW w:type="dxa" w:w="4819"/>
            <w:shd w:val="clear" w:color="auto" w:fill="EEF2F8"/>
          </w:tcPr>
          <w:p>
            <w:pPr>
              <w:spacing w:after="40" w:before="40"/>
            </w:pPr>
            <w:r/>
            <w:r>
              <w:rPr>
                <w:b w:val="0"/>
                <w:sz w:val="21"/>
              </w:rPr>
              <w:t>Đơn vị đồ thị của bài toán</w:t>
            </w:r>
          </w:p>
        </w:tc>
      </w:tr>
      <w:tr>
        <w:tc>
          <w:tcPr>
            <w:tcW w:type="dxa" w:w="567"/>
          </w:tcPr>
          <w:p>
            <w:pPr>
              <w:spacing w:after="40" w:before="40"/>
            </w:pPr>
            <w:r/>
            <w:r>
              <w:rPr>
                <w:b w:val="0"/>
                <w:sz w:val="21"/>
              </w:rPr>
              <w:t>5</w:t>
            </w:r>
          </w:p>
        </w:tc>
        <w:tc>
          <w:tcPr>
            <w:tcW w:type="dxa" w:w="3685"/>
          </w:tcPr>
          <w:p>
            <w:pPr>
              <w:spacing w:after="40" w:before="40"/>
            </w:pPr>
            <w:r/>
            <w:r>
              <w:rPr>
                <w:b w:val="0"/>
                <w:sz w:val="21"/>
              </w:rPr>
              <w:t>Có kết cục cú sút để gán nhãn</w:t>
            </w:r>
          </w:p>
        </w:tc>
        <w:tc>
          <w:tcPr>
            <w:tcW w:type="dxa" w:w="4819"/>
          </w:tcPr>
          <w:p>
            <w:pPr>
              <w:spacing w:after="40" w:before="40"/>
            </w:pPr>
            <w:r/>
            <w:r>
              <w:rPr>
                <w:b w:val="0"/>
                <w:sz w:val="21"/>
              </w:rPr>
              <w:t>Nhãn ở mức đồ thị (Bước 2.3)</w:t>
            </w:r>
          </w:p>
        </w:tc>
      </w:tr>
      <w:tr>
        <w:tc>
          <w:tcPr>
            <w:tcW w:type="dxa" w:w="567"/>
            <w:shd w:val="clear" w:color="auto" w:fill="EEF2F8"/>
          </w:tcPr>
          <w:p>
            <w:pPr>
              <w:spacing w:after="40" w:before="40"/>
            </w:pPr>
            <w:r/>
            <w:r>
              <w:rPr>
                <w:b w:val="0"/>
                <w:sz w:val="21"/>
              </w:rPr>
              <w:t>6</w:t>
            </w:r>
          </w:p>
        </w:tc>
        <w:tc>
          <w:tcPr>
            <w:tcW w:type="dxa" w:w="3685"/>
            <w:shd w:val="clear" w:color="auto" w:fill="EEF2F8"/>
          </w:tcPr>
          <w:p>
            <w:pPr>
              <w:spacing w:after="40" w:before="40"/>
            </w:pPr>
            <w:r/>
            <w:r>
              <w:rPr>
                <w:b w:val="0"/>
                <w:sz w:val="21"/>
              </w:rPr>
              <w:t>Đủ cỡ mẫu cho việc chia theo trận</w:t>
            </w:r>
          </w:p>
        </w:tc>
        <w:tc>
          <w:tcPr>
            <w:tcW w:type="dxa" w:w="4819"/>
            <w:shd w:val="clear" w:color="auto" w:fill="EEF2F8"/>
          </w:tcPr>
          <w:p>
            <w:pPr>
              <w:spacing w:after="40" w:before="40"/>
            </w:pPr>
            <w:r/>
            <w:r>
              <w:rPr>
                <w:b w:val="0"/>
                <w:sz w:val="21"/>
              </w:rPr>
              <w:t>Xem mục 1.2</w:t>
            </w:r>
          </w:p>
        </w:tc>
      </w:tr>
      <w:tr>
        <w:tc>
          <w:tcPr>
            <w:tcW w:type="dxa" w:w="567"/>
          </w:tcPr>
          <w:p>
            <w:pPr>
              <w:spacing w:after="40" w:before="40"/>
            </w:pPr>
            <w:r/>
            <w:r>
              <w:rPr>
                <w:b w:val="0"/>
                <w:sz w:val="21"/>
              </w:rPr>
              <w:t>7</w:t>
            </w:r>
          </w:p>
        </w:tc>
        <w:tc>
          <w:tcPr>
            <w:tcW w:type="dxa" w:w="3685"/>
          </w:tcPr>
          <w:p>
            <w:pPr>
              <w:spacing w:after="40" w:before="40"/>
            </w:pPr>
            <w:r/>
            <w:r>
              <w:rPr>
                <w:b w:val="0"/>
                <w:sz w:val="21"/>
              </w:rPr>
              <w:t>Truy cập tự do, không cần xin quyền</w:t>
            </w:r>
          </w:p>
        </w:tc>
        <w:tc>
          <w:tcPr>
            <w:tcW w:type="dxa" w:w="4819"/>
          </w:tcPr>
          <w:p>
            <w:pPr>
              <w:spacing w:after="40" w:before="40"/>
            </w:pPr>
            <w:r/>
            <w:r>
              <w:rPr>
                <w:b w:val="0"/>
                <w:sz w:val="21"/>
              </w:rPr>
              <w:t>Rủi ro tiến độ đồ án</w:t>
            </w:r>
          </w:p>
        </w:tc>
      </w:tr>
      <w:tr>
        <w:tc>
          <w:tcPr>
            <w:tcW w:type="dxa" w:w="567"/>
            <w:shd w:val="clear" w:color="auto" w:fill="EEF2F8"/>
          </w:tcPr>
          <w:p>
            <w:pPr>
              <w:spacing w:after="40" w:before="40"/>
            </w:pPr>
            <w:r/>
            <w:r>
              <w:rPr>
                <w:b w:val="0"/>
                <w:sz w:val="21"/>
              </w:rPr>
              <w:t>8</w:t>
            </w:r>
          </w:p>
        </w:tc>
        <w:tc>
          <w:tcPr>
            <w:tcW w:type="dxa" w:w="3685"/>
            <w:shd w:val="clear" w:color="auto" w:fill="EEF2F8"/>
          </w:tcPr>
          <w:p>
            <w:pPr>
              <w:spacing w:after="40" w:before="40"/>
            </w:pPr>
            <w:r/>
            <w:r>
              <w:rPr>
                <w:b w:val="0"/>
                <w:sz w:val="21"/>
              </w:rPr>
              <w:t>Có tài liệu và kiểm chứng chất lượng công khai</w:t>
            </w:r>
          </w:p>
        </w:tc>
        <w:tc>
          <w:tcPr>
            <w:tcW w:type="dxa" w:w="4819"/>
            <w:shd w:val="clear" w:color="auto" w:fill="EEF2F8"/>
          </w:tcPr>
          <w:p>
            <w:pPr>
              <w:spacing w:after="40" w:before="40"/>
            </w:pPr>
            <w:r/>
            <w:r>
              <w:rPr>
                <w:b w:val="0"/>
                <w:sz w:val="21"/>
              </w:rPr>
              <w:t>Yêu cầu “kiểm chứng và xác thực đầy đủ”; cần trích dẫn được khi bảo vệ</w:t>
            </w:r>
          </w:p>
        </w:tc>
      </w:tr>
      <w:tr>
        <w:tc>
          <w:tcPr>
            <w:tcW w:type="dxa" w:w="567"/>
          </w:tcPr>
          <w:p>
            <w:pPr>
              <w:spacing w:after="40" w:before="40"/>
            </w:pPr>
            <w:r/>
            <w:r>
              <w:rPr>
                <w:b w:val="0"/>
                <w:sz w:val="21"/>
              </w:rPr>
              <w:t>9</w:t>
            </w:r>
          </w:p>
        </w:tc>
        <w:tc>
          <w:tcPr>
            <w:tcW w:type="dxa" w:w="3685"/>
          </w:tcPr>
          <w:p>
            <w:pPr>
              <w:spacing w:after="40" w:before="40"/>
            </w:pPr>
            <w:r/>
            <w:r>
              <w:rPr>
                <w:b w:val="0"/>
                <w:sz w:val="21"/>
              </w:rPr>
              <w:t>Giấy phép cho phép công bố nghiên cứu</w:t>
            </w:r>
          </w:p>
        </w:tc>
        <w:tc>
          <w:tcPr>
            <w:tcW w:type="dxa" w:w="4819"/>
          </w:tcPr>
          <w:p>
            <w:pPr>
              <w:spacing w:after="40" w:before="40"/>
            </w:pPr>
            <w:r/>
            <w:r>
              <w:rPr>
                <w:b w:val="0"/>
                <w:sz w:val="21"/>
              </w:rPr>
              <w:t>Đề tài hướng tới bài báo khoa học</w:t>
            </w:r>
          </w:p>
        </w:tc>
      </w:tr>
    </w:tbl>
    <w:p>
      <w:pPr>
        <w:spacing w:after="80"/>
      </w:pPr>
    </w:p>
    <w:p>
      <w:r>
        <w:br w:type="page"/>
      </w:r>
    </w:p>
    <w:p>
      <w:pPr>
        <w:pStyle w:val="Heading1"/>
      </w:pPr>
      <w:r>
        <w:t>3. Dataset ① — StatsBomb Open Data</w:t>
      </w:r>
    </w:p>
    <w:p>
      <w:pPr>
        <w:pStyle w:val="Heading2"/>
      </w:pPr>
      <w:r>
        <w:t>3.1. Định danh</w:t>
      </w:r>
    </w:p>
    <w:tbl>
      <w:tblPr>
        <w:tblStyle w:val="TableGrid"/>
        <w:tblW w:type="auto" w:w="0"/>
        <w:jc w:val="center"/>
        <w:tblLook w:firstColumn="1" w:firstRow="1" w:lastColumn="0" w:lastRow="0" w:noHBand="0" w:noVBand="1" w:val="04A0"/>
      </w:tblPr>
      <w:tblGrid>
        <w:gridCol w:w="4844"/>
        <w:gridCol w:w="4844"/>
      </w:tblGrid>
      <w:tr>
        <w:tc>
          <w:tcPr>
            <w:tcW w:type="dxa" w:w="2551"/>
            <w:shd w:val="clear" w:color="auto" w:fill="1F3864"/>
          </w:tcPr>
          <w:p>
            <w:pPr>
              <w:spacing w:after="40" w:before="40"/>
            </w:pPr>
            <w:r/>
            <w:r>
              <w:rPr>
                <w:b/>
                <w:color w:val="FFFFFF"/>
                <w:sz w:val="21"/>
              </w:rPr>
              <w:t>Hạng mục</w:t>
            </w:r>
          </w:p>
        </w:tc>
        <w:tc>
          <w:tcPr>
            <w:tcW w:type="dxa" w:w="6520"/>
            <w:shd w:val="clear" w:color="auto" w:fill="1F3864"/>
          </w:tcPr>
          <w:p>
            <w:pPr>
              <w:spacing w:after="40" w:before="40"/>
            </w:pPr>
            <w:r/>
            <w:r>
              <w:rPr>
                <w:b/>
                <w:color w:val="FFFFFF"/>
                <w:sz w:val="21"/>
              </w:rPr>
              <w:t>Nội dung</w:t>
            </w:r>
          </w:p>
        </w:tc>
      </w:tr>
      <w:tr>
        <w:tc>
          <w:tcPr>
            <w:tcW w:type="dxa" w:w="2551"/>
          </w:tcPr>
          <w:p>
            <w:pPr>
              <w:spacing w:after="40" w:before="40"/>
            </w:pPr>
            <w:r/>
            <w:r>
              <w:rPr>
                <w:b w:val="0"/>
                <w:sz w:val="21"/>
              </w:rPr>
              <w:t>Nhà cung cấp</w:t>
            </w:r>
          </w:p>
        </w:tc>
        <w:tc>
          <w:tcPr>
            <w:tcW w:type="dxa" w:w="6520"/>
          </w:tcPr>
          <w:p>
            <w:pPr>
              <w:spacing w:after="40" w:before="40"/>
            </w:pPr>
            <w:r/>
            <w:r>
              <w:rPr>
                <w:b w:val="0"/>
                <w:sz w:val="21"/>
              </w:rPr>
              <w:t>Hudl StatsBomb</w:t>
            </w:r>
          </w:p>
        </w:tc>
      </w:tr>
      <w:tr>
        <w:tc>
          <w:tcPr>
            <w:tcW w:type="dxa" w:w="2551"/>
            <w:shd w:val="clear" w:color="auto" w:fill="EEF2F8"/>
          </w:tcPr>
          <w:p>
            <w:pPr>
              <w:spacing w:after="40" w:before="40"/>
            </w:pPr>
            <w:r/>
            <w:r>
              <w:rPr>
                <w:b w:val="0"/>
                <w:sz w:val="21"/>
              </w:rPr>
              <w:t>Kho dữ liệu</w:t>
            </w:r>
          </w:p>
        </w:tc>
        <w:tc>
          <w:tcPr>
            <w:tcW w:type="dxa" w:w="6520"/>
            <w:shd w:val="clear" w:color="auto" w:fill="EEF2F8"/>
          </w:tcPr>
          <w:p>
            <w:pPr>
              <w:spacing w:after="40" w:before="40"/>
            </w:pPr>
            <w:r/>
            <w:r>
              <w:rPr>
                <w:b w:val="0"/>
                <w:sz w:val="21"/>
              </w:rPr>
              <w:t>https://github.com/statsbomb/open-data</w:t>
            </w:r>
          </w:p>
        </w:tc>
      </w:tr>
      <w:tr>
        <w:tc>
          <w:tcPr>
            <w:tcW w:type="dxa" w:w="2551"/>
          </w:tcPr>
          <w:p>
            <w:pPr>
              <w:spacing w:after="40" w:before="40"/>
            </w:pPr>
            <w:r/>
            <w:r>
              <w:rPr>
                <w:b w:val="0"/>
                <w:sz w:val="21"/>
              </w:rPr>
              <w:t>Thư viện truy cập</w:t>
            </w:r>
          </w:p>
        </w:tc>
        <w:tc>
          <w:tcPr>
            <w:tcW w:type="dxa" w:w="6520"/>
          </w:tcPr>
          <w:p>
            <w:pPr>
              <w:spacing w:after="40" w:before="40"/>
            </w:pPr>
            <w:r/>
            <w:r>
              <w:rPr>
                <w:b w:val="0"/>
                <w:sz w:val="21"/>
              </w:rPr>
              <w:t>statsbombpy</w:t>
            </w:r>
          </w:p>
        </w:tc>
      </w:tr>
      <w:tr>
        <w:tc>
          <w:tcPr>
            <w:tcW w:type="dxa" w:w="2551"/>
            <w:shd w:val="clear" w:color="auto" w:fill="EEF2F8"/>
          </w:tcPr>
          <w:p>
            <w:pPr>
              <w:spacing w:after="40" w:before="40"/>
            </w:pPr>
            <w:r/>
            <w:r>
              <w:rPr>
                <w:b w:val="0"/>
                <w:sz w:val="21"/>
              </w:rPr>
              <w:t>Quy mô kho</w:t>
            </w:r>
          </w:p>
        </w:tc>
        <w:tc>
          <w:tcPr>
            <w:tcW w:type="dxa" w:w="6520"/>
            <w:shd w:val="clear" w:color="auto" w:fill="EEF2F8"/>
          </w:tcPr>
          <w:p>
            <w:pPr>
              <w:spacing w:after="40" w:before="40"/>
            </w:pPr>
            <w:r/>
            <w:r>
              <w:rPr>
                <w:b w:val="0"/>
                <w:sz w:val="21"/>
              </w:rPr>
              <w:t>81 cặp giải – mùa (data/competitions.json)</w:t>
            </w:r>
          </w:p>
        </w:tc>
      </w:tr>
      <w:tr>
        <w:tc>
          <w:tcPr>
            <w:tcW w:type="dxa" w:w="2551"/>
          </w:tcPr>
          <w:p>
            <w:pPr>
              <w:spacing w:after="40" w:before="40"/>
            </w:pPr>
            <w:r/>
            <w:r>
              <w:rPr>
                <w:b w:val="0"/>
                <w:sz w:val="21"/>
              </w:rPr>
              <w:t>Định dạng</w:t>
            </w:r>
          </w:p>
        </w:tc>
        <w:tc>
          <w:tcPr>
            <w:tcW w:type="dxa" w:w="6520"/>
          </w:tcPr>
          <w:p>
            <w:pPr>
              <w:spacing w:after="40" w:before="40"/>
            </w:pPr>
            <w:r/>
            <w:r>
              <w:rPr>
                <w:b w:val="0"/>
                <w:sz w:val="21"/>
              </w:rPr>
              <w:t>JSON</w:t>
            </w:r>
          </w:p>
        </w:tc>
      </w:tr>
    </w:tbl>
    <w:p>
      <w:pPr>
        <w:spacing w:after="80"/>
      </w:pPr>
    </w:p>
    <w:p>
      <w:pPr>
        <w:pStyle w:val="Heading2"/>
      </w:pPr>
      <w:r>
        <w:t>3.2. Phạm vi đề xuất sử dụng</w:t>
      </w:r>
    </w:p>
    <w:p>
      <w:pPr>
        <w:spacing w:after="120"/>
      </w:pPr>
      <w:r>
        <w:rPr>
          <w:b/>
          <w:i w:val="0"/>
          <w:sz w:val="24"/>
        </w:rPr>
        <w:t>Tập chính — Big-5 mùa 2015/16 (trừ Bundesliga):</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3402"/>
            <w:shd w:val="clear" w:color="auto" w:fill="1F3864"/>
          </w:tcPr>
          <w:p>
            <w:pPr>
              <w:spacing w:after="40" w:before="40"/>
            </w:pPr>
            <w:r/>
            <w:r>
              <w:rPr>
                <w:b/>
                <w:color w:val="FFFFFF"/>
                <w:sz w:val="21"/>
              </w:rPr>
              <w:t>Giải</w:t>
            </w:r>
          </w:p>
        </w:tc>
        <w:tc>
          <w:tcPr>
            <w:tcW w:type="dxa" w:w="1984"/>
            <w:shd w:val="clear" w:color="auto" w:fill="1F3864"/>
          </w:tcPr>
          <w:p>
            <w:pPr>
              <w:spacing w:after="40" w:before="40"/>
            </w:pPr>
            <w:r/>
            <w:r>
              <w:rPr>
                <w:b/>
                <w:color w:val="FFFFFF"/>
                <w:sz w:val="21"/>
              </w:rPr>
              <w:t>competition_id</w:t>
            </w:r>
          </w:p>
        </w:tc>
        <w:tc>
          <w:tcPr>
            <w:tcW w:type="dxa" w:w="1701"/>
            <w:shd w:val="clear" w:color="auto" w:fill="1F3864"/>
          </w:tcPr>
          <w:p>
            <w:pPr>
              <w:spacing w:after="40" w:before="40"/>
            </w:pPr>
            <w:r/>
            <w:r>
              <w:rPr>
                <w:b/>
                <w:color w:val="FFFFFF"/>
                <w:sz w:val="21"/>
              </w:rPr>
              <w:t>season_id</w:t>
            </w:r>
          </w:p>
        </w:tc>
        <w:tc>
          <w:tcPr>
            <w:tcW w:type="dxa" w:w="1984"/>
            <w:shd w:val="clear" w:color="auto" w:fill="1F3864"/>
          </w:tcPr>
          <w:p>
            <w:pPr>
              <w:spacing w:after="40" w:before="40"/>
            </w:pPr>
            <w:r/>
            <w:r>
              <w:rPr>
                <w:b/>
                <w:color w:val="FFFFFF"/>
                <w:sz w:val="21"/>
              </w:rPr>
              <w:t>Số trận</w:t>
            </w:r>
          </w:p>
        </w:tc>
      </w:tr>
      <w:tr>
        <w:tc>
          <w:tcPr>
            <w:tcW w:type="dxa" w:w="3402"/>
          </w:tcPr>
          <w:p>
            <w:pPr>
              <w:spacing w:after="40" w:before="40"/>
            </w:pPr>
            <w:r/>
            <w:r>
              <w:rPr>
                <w:b w:val="0"/>
                <w:sz w:val="21"/>
              </w:rPr>
              <w:t>Premier League</w:t>
            </w:r>
          </w:p>
        </w:tc>
        <w:tc>
          <w:tcPr>
            <w:tcW w:type="dxa" w:w="1984"/>
          </w:tcPr>
          <w:p>
            <w:pPr>
              <w:spacing w:after="40" w:before="40"/>
            </w:pPr>
            <w:r/>
            <w:r>
              <w:rPr>
                <w:rFonts w:ascii="Consolas" w:hAnsi="Consolas" w:eastAsia="Consolas"/>
                <w:b w:val="0"/>
                <w:sz w:val="21"/>
              </w:rPr>
              <w:t>2</w:t>
            </w:r>
          </w:p>
        </w:tc>
        <w:tc>
          <w:tcPr>
            <w:tcW w:type="dxa" w:w="1701"/>
          </w:tcPr>
          <w:p>
            <w:pPr>
              <w:spacing w:after="40" w:before="40"/>
            </w:pPr>
            <w:r/>
            <w:r>
              <w:rPr>
                <w:rFonts w:ascii="Consolas" w:hAnsi="Consolas" w:eastAsia="Consolas"/>
                <w:b w:val="0"/>
                <w:sz w:val="21"/>
              </w:rPr>
              <w:t>27</w:t>
            </w:r>
          </w:p>
        </w:tc>
        <w:tc>
          <w:tcPr>
            <w:tcW w:type="dxa" w:w="1984"/>
          </w:tcPr>
          <w:p>
            <w:pPr>
              <w:spacing w:after="40" w:before="40"/>
            </w:pPr>
            <w:r/>
            <w:r>
              <w:rPr>
                <w:b w:val="0"/>
                <w:sz w:val="21"/>
              </w:rPr>
              <w:t>~380</w:t>
            </w:r>
          </w:p>
        </w:tc>
      </w:tr>
      <w:tr>
        <w:tc>
          <w:tcPr>
            <w:tcW w:type="dxa" w:w="3402"/>
            <w:shd w:val="clear" w:color="auto" w:fill="EEF2F8"/>
          </w:tcPr>
          <w:p>
            <w:pPr>
              <w:spacing w:after="40" w:before="40"/>
            </w:pPr>
            <w:r/>
            <w:r>
              <w:rPr>
                <w:b w:val="0"/>
                <w:sz w:val="21"/>
              </w:rPr>
              <w:t>La Liga</w:t>
            </w:r>
          </w:p>
        </w:tc>
        <w:tc>
          <w:tcPr>
            <w:tcW w:type="dxa" w:w="1984"/>
            <w:shd w:val="clear" w:color="auto" w:fill="EEF2F8"/>
          </w:tcPr>
          <w:p>
            <w:pPr>
              <w:spacing w:after="40" w:before="40"/>
            </w:pPr>
            <w:r/>
            <w:r>
              <w:rPr>
                <w:rFonts w:ascii="Consolas" w:hAnsi="Consolas" w:eastAsia="Consolas"/>
                <w:b w:val="0"/>
                <w:sz w:val="21"/>
              </w:rPr>
              <w:t>11</w:t>
            </w:r>
          </w:p>
        </w:tc>
        <w:tc>
          <w:tcPr>
            <w:tcW w:type="dxa" w:w="1701"/>
            <w:shd w:val="clear" w:color="auto" w:fill="EEF2F8"/>
          </w:tcPr>
          <w:p>
            <w:pPr>
              <w:spacing w:after="40" w:before="40"/>
            </w:pPr>
            <w:r/>
            <w:r>
              <w:rPr>
                <w:rFonts w:ascii="Consolas" w:hAnsi="Consolas" w:eastAsia="Consolas"/>
                <w:b w:val="0"/>
                <w:sz w:val="21"/>
              </w:rPr>
              <w:t>27</w:t>
            </w:r>
          </w:p>
        </w:tc>
        <w:tc>
          <w:tcPr>
            <w:tcW w:type="dxa" w:w="1984"/>
            <w:shd w:val="clear" w:color="auto" w:fill="EEF2F8"/>
          </w:tcPr>
          <w:p>
            <w:pPr>
              <w:spacing w:after="40" w:before="40"/>
            </w:pPr>
            <w:r/>
            <w:r>
              <w:rPr>
                <w:b w:val="0"/>
                <w:sz w:val="21"/>
              </w:rPr>
              <w:t>~380</w:t>
            </w:r>
          </w:p>
        </w:tc>
      </w:tr>
      <w:tr>
        <w:tc>
          <w:tcPr>
            <w:tcW w:type="dxa" w:w="3402"/>
          </w:tcPr>
          <w:p>
            <w:pPr>
              <w:spacing w:after="40" w:before="40"/>
            </w:pPr>
            <w:r/>
            <w:r>
              <w:rPr>
                <w:b w:val="0"/>
                <w:sz w:val="21"/>
              </w:rPr>
              <w:t>Serie A</w:t>
            </w:r>
          </w:p>
        </w:tc>
        <w:tc>
          <w:tcPr>
            <w:tcW w:type="dxa" w:w="1984"/>
          </w:tcPr>
          <w:p>
            <w:pPr>
              <w:spacing w:after="40" w:before="40"/>
            </w:pPr>
            <w:r/>
            <w:r>
              <w:rPr>
                <w:rFonts w:ascii="Consolas" w:hAnsi="Consolas" w:eastAsia="Consolas"/>
                <w:b w:val="0"/>
                <w:sz w:val="21"/>
              </w:rPr>
              <w:t>12</w:t>
            </w:r>
          </w:p>
        </w:tc>
        <w:tc>
          <w:tcPr>
            <w:tcW w:type="dxa" w:w="1701"/>
          </w:tcPr>
          <w:p>
            <w:pPr>
              <w:spacing w:after="40" w:before="40"/>
            </w:pPr>
            <w:r/>
            <w:r>
              <w:rPr>
                <w:rFonts w:ascii="Consolas" w:hAnsi="Consolas" w:eastAsia="Consolas"/>
                <w:b w:val="0"/>
                <w:sz w:val="21"/>
              </w:rPr>
              <w:t>27</w:t>
            </w:r>
          </w:p>
        </w:tc>
        <w:tc>
          <w:tcPr>
            <w:tcW w:type="dxa" w:w="1984"/>
          </w:tcPr>
          <w:p>
            <w:pPr>
              <w:spacing w:after="40" w:before="40"/>
            </w:pPr>
            <w:r/>
            <w:r>
              <w:rPr>
                <w:b w:val="0"/>
                <w:sz w:val="21"/>
              </w:rPr>
              <w:t>~380</w:t>
            </w:r>
          </w:p>
        </w:tc>
      </w:tr>
      <w:tr>
        <w:tc>
          <w:tcPr>
            <w:tcW w:type="dxa" w:w="3402"/>
            <w:shd w:val="clear" w:color="auto" w:fill="EEF2F8"/>
          </w:tcPr>
          <w:p>
            <w:pPr>
              <w:spacing w:after="40" w:before="40"/>
            </w:pPr>
            <w:r/>
            <w:r>
              <w:rPr>
                <w:b w:val="0"/>
                <w:sz w:val="21"/>
              </w:rPr>
              <w:t>Ligue 1</w:t>
            </w:r>
          </w:p>
        </w:tc>
        <w:tc>
          <w:tcPr>
            <w:tcW w:type="dxa" w:w="1984"/>
            <w:shd w:val="clear" w:color="auto" w:fill="EEF2F8"/>
          </w:tcPr>
          <w:p>
            <w:pPr>
              <w:spacing w:after="40" w:before="40"/>
            </w:pPr>
            <w:r/>
            <w:r>
              <w:rPr>
                <w:rFonts w:ascii="Consolas" w:hAnsi="Consolas" w:eastAsia="Consolas"/>
                <w:b w:val="0"/>
                <w:sz w:val="21"/>
              </w:rPr>
              <w:t>7</w:t>
            </w:r>
          </w:p>
        </w:tc>
        <w:tc>
          <w:tcPr>
            <w:tcW w:type="dxa" w:w="1701"/>
            <w:shd w:val="clear" w:color="auto" w:fill="EEF2F8"/>
          </w:tcPr>
          <w:p>
            <w:pPr>
              <w:spacing w:after="40" w:before="40"/>
            </w:pPr>
            <w:r/>
            <w:r>
              <w:rPr>
                <w:rFonts w:ascii="Consolas" w:hAnsi="Consolas" w:eastAsia="Consolas"/>
                <w:b w:val="0"/>
                <w:sz w:val="21"/>
              </w:rPr>
              <w:t>27</w:t>
            </w:r>
          </w:p>
        </w:tc>
        <w:tc>
          <w:tcPr>
            <w:tcW w:type="dxa" w:w="1984"/>
            <w:shd w:val="clear" w:color="auto" w:fill="EEF2F8"/>
          </w:tcPr>
          <w:p>
            <w:pPr>
              <w:spacing w:after="40" w:before="40"/>
            </w:pPr>
            <w:r/>
            <w:r>
              <w:rPr>
                <w:b w:val="0"/>
                <w:sz w:val="21"/>
              </w:rPr>
              <w:t>~377</w:t>
            </w:r>
          </w:p>
        </w:tc>
      </w:tr>
      <w:tr>
        <w:tc>
          <w:tcPr>
            <w:tcW w:type="dxa" w:w="3402"/>
          </w:tcPr>
          <w:p>
            <w:pPr>
              <w:spacing w:after="40" w:before="40"/>
            </w:pPr>
            <w:r/>
            <w:r>
              <w:rPr>
                <w:b w:val="0"/>
                <w:sz w:val="21"/>
              </w:rPr>
              <w:t>TỔNG</w:t>
            </w:r>
          </w:p>
        </w:tc>
        <w:tc>
          <w:tcPr>
            <w:tcW w:type="dxa" w:w="1984"/>
          </w:tcPr>
          <w:p>
            <w:pPr>
              <w:spacing w:after="40" w:before="40"/>
            </w:pPr>
            <w:r/>
            <w:r>
              <w:rPr>
                <w:rFonts w:ascii="Consolas" w:hAnsi="Consolas" w:eastAsia="Consolas"/>
                <w:b w:val="0"/>
                <w:sz w:val="21"/>
              </w:rPr>
            </w:r>
          </w:p>
        </w:tc>
        <w:tc>
          <w:tcPr>
            <w:tcW w:type="dxa" w:w="1701"/>
          </w:tcPr>
          <w:p>
            <w:pPr>
              <w:spacing w:after="40" w:before="40"/>
            </w:pPr>
            <w:r/>
            <w:r>
              <w:rPr>
                <w:rFonts w:ascii="Consolas" w:hAnsi="Consolas" w:eastAsia="Consolas"/>
                <w:b w:val="0"/>
                <w:sz w:val="21"/>
              </w:rPr>
            </w:r>
          </w:p>
        </w:tc>
        <w:tc>
          <w:tcPr>
            <w:tcW w:type="dxa" w:w="1984"/>
          </w:tcPr>
          <w:p>
            <w:pPr>
              <w:spacing w:after="40" w:before="40"/>
            </w:pPr>
            <w:r/>
            <w:r>
              <w:rPr>
                <w:b w:val="0"/>
                <w:sz w:val="21"/>
              </w:rPr>
              <w:t>~1.517</w:t>
            </w:r>
          </w:p>
        </w:tc>
      </w:tr>
    </w:tbl>
    <w:p>
      <w:pPr>
        <w:spacing w:after="80"/>
      </w:pPr>
    </w:p>
    <w:p>
      <w:pPr>
        <w:spacing w:after="120"/>
      </w:pPr>
      <w:r>
        <w:rPr>
          <w:b/>
          <w:i w:val="0"/>
          <w:sz w:val="24"/>
        </w:rPr>
        <w:t>Tập mở rộng tùy chọn (nếu cần tăng cỡ mẫu hoặc kiểm tra tính ổn định qua thể thức giải đấu khác):</w:t>
      </w:r>
    </w:p>
    <w:tbl>
      <w:tblPr>
        <w:tblStyle w:val="TableGrid"/>
        <w:tblW w:type="auto" w:w="0"/>
        <w:jc w:val="center"/>
        <w:tblLook w:firstColumn="1" w:firstRow="1" w:lastColumn="0" w:lastRow="0" w:noHBand="0" w:noVBand="1" w:val="04A0"/>
      </w:tblPr>
      <w:tblGrid>
        <w:gridCol w:w="3230"/>
        <w:gridCol w:w="3230"/>
        <w:gridCol w:w="3230"/>
      </w:tblGrid>
      <w:tr>
        <w:tc>
          <w:tcPr>
            <w:tcW w:type="dxa" w:w="3969"/>
            <w:shd w:val="clear" w:color="auto" w:fill="1F3864"/>
          </w:tcPr>
          <w:p>
            <w:pPr>
              <w:spacing w:after="40" w:before="40"/>
            </w:pPr>
            <w:r/>
            <w:r>
              <w:rPr>
                <w:b/>
                <w:color w:val="FFFFFF"/>
                <w:sz w:val="21"/>
              </w:rPr>
              <w:t>Giải</w:t>
            </w:r>
          </w:p>
        </w:tc>
        <w:tc>
          <w:tcPr>
            <w:tcW w:type="dxa" w:w="1417"/>
            <w:shd w:val="clear" w:color="auto" w:fill="1F3864"/>
          </w:tcPr>
          <w:p>
            <w:pPr>
              <w:spacing w:after="40" w:before="40"/>
            </w:pPr>
            <w:r/>
            <w:r>
              <w:rPr>
                <w:b/>
                <w:color w:val="FFFFFF"/>
                <w:sz w:val="21"/>
              </w:rPr>
              <w:t>Số trận</w:t>
            </w:r>
          </w:p>
        </w:tc>
        <w:tc>
          <w:tcPr>
            <w:tcW w:type="dxa" w:w="3685"/>
            <w:shd w:val="clear" w:color="auto" w:fill="1F3864"/>
          </w:tcPr>
          <w:p>
            <w:pPr>
              <w:spacing w:after="40" w:before="40"/>
            </w:pPr>
            <w:r/>
            <w:r>
              <w:rPr>
                <w:b/>
                <w:color w:val="FFFFFF"/>
                <w:sz w:val="21"/>
              </w:rPr>
              <w:t>Ghi chú</w:t>
            </w:r>
          </w:p>
        </w:tc>
      </w:tr>
      <w:tr>
        <w:tc>
          <w:tcPr>
            <w:tcW w:type="dxa" w:w="3969"/>
          </w:tcPr>
          <w:p>
            <w:pPr>
              <w:spacing w:after="40" w:before="40"/>
            </w:pPr>
            <w:r/>
            <w:r>
              <w:rPr>
                <w:b w:val="0"/>
                <w:sz w:val="21"/>
              </w:rPr>
              <w:t>FIFA World Cup 2018</w:t>
            </w:r>
          </w:p>
        </w:tc>
        <w:tc>
          <w:tcPr>
            <w:tcW w:type="dxa" w:w="1417"/>
          </w:tcPr>
          <w:p>
            <w:pPr>
              <w:spacing w:after="40" w:before="40"/>
            </w:pPr>
            <w:r/>
            <w:r>
              <w:rPr>
                <w:b w:val="0"/>
                <w:sz w:val="21"/>
              </w:rPr>
              <w:t>64</w:t>
            </w:r>
          </w:p>
        </w:tc>
        <w:tc>
          <w:tcPr>
            <w:tcW w:type="dxa" w:w="3685"/>
          </w:tcPr>
          <w:p>
            <w:pPr>
              <w:spacing w:after="40" w:before="40"/>
            </w:pPr>
            <w:r/>
            <w:r>
              <w:rPr>
                <w:b w:val="0"/>
                <w:sz w:val="21"/>
              </w:rPr>
              <w:t>Giải đấu quốc tế</w:t>
            </w:r>
          </w:p>
        </w:tc>
      </w:tr>
      <w:tr>
        <w:tc>
          <w:tcPr>
            <w:tcW w:type="dxa" w:w="3969"/>
            <w:shd w:val="clear" w:color="auto" w:fill="EEF2F8"/>
          </w:tcPr>
          <w:p>
            <w:pPr>
              <w:spacing w:after="40" w:before="40"/>
            </w:pPr>
            <w:r/>
            <w:r>
              <w:rPr>
                <w:b w:val="0"/>
                <w:sz w:val="21"/>
              </w:rPr>
              <w:t>FIFA World Cup 2022</w:t>
            </w:r>
          </w:p>
        </w:tc>
        <w:tc>
          <w:tcPr>
            <w:tcW w:type="dxa" w:w="1417"/>
            <w:shd w:val="clear" w:color="auto" w:fill="EEF2F8"/>
          </w:tcPr>
          <w:p>
            <w:pPr>
              <w:spacing w:after="40" w:before="40"/>
            </w:pPr>
            <w:r/>
            <w:r>
              <w:rPr>
                <w:b w:val="0"/>
                <w:sz w:val="21"/>
              </w:rPr>
              <w:t>64</w:t>
            </w:r>
          </w:p>
        </w:tc>
        <w:tc>
          <w:tcPr>
            <w:tcW w:type="dxa" w:w="3685"/>
            <w:shd w:val="clear" w:color="auto" w:fill="EEF2F8"/>
          </w:tcPr>
          <w:p>
            <w:pPr>
              <w:spacing w:after="40" w:before="40"/>
            </w:pPr>
            <w:r/>
            <w:r>
              <w:rPr>
                <w:b w:val="0"/>
                <w:sz w:val="21"/>
              </w:rPr>
              <w:t>Có kèm dữ liệu 360</w:t>
            </w:r>
          </w:p>
        </w:tc>
      </w:tr>
      <w:tr>
        <w:tc>
          <w:tcPr>
            <w:tcW w:type="dxa" w:w="3969"/>
          </w:tcPr>
          <w:p>
            <w:pPr>
              <w:spacing w:after="40" w:before="40"/>
            </w:pPr>
            <w:r/>
            <w:r>
              <w:rPr>
                <w:b w:val="0"/>
                <w:sz w:val="21"/>
              </w:rPr>
              <w:t>UEFA Euro 2020 / 2024</w:t>
            </w:r>
          </w:p>
        </w:tc>
        <w:tc>
          <w:tcPr>
            <w:tcW w:type="dxa" w:w="1417"/>
          </w:tcPr>
          <w:p>
            <w:pPr>
              <w:spacing w:after="40" w:before="40"/>
            </w:pPr>
            <w:r/>
            <w:r>
              <w:rPr>
                <w:b w:val="0"/>
                <w:sz w:val="21"/>
              </w:rPr>
              <w:t>51 / 51</w:t>
            </w:r>
          </w:p>
        </w:tc>
        <w:tc>
          <w:tcPr>
            <w:tcW w:type="dxa" w:w="3685"/>
          </w:tcPr>
          <w:p>
            <w:pPr>
              <w:spacing w:after="40" w:before="40"/>
            </w:pPr>
            <w:r/>
            <w:r>
              <w:rPr>
                <w:b w:val="0"/>
                <w:sz w:val="21"/>
              </w:rPr>
              <w:t>Có kèm dữ liệu 360</w:t>
            </w:r>
          </w:p>
        </w:tc>
      </w:tr>
      <w:tr>
        <w:tc>
          <w:tcPr>
            <w:tcW w:type="dxa" w:w="3969"/>
            <w:shd w:val="clear" w:color="auto" w:fill="EEF2F8"/>
          </w:tcPr>
          <w:p>
            <w:pPr>
              <w:spacing w:after="40" w:before="40"/>
            </w:pPr>
            <w:r/>
            <w:r>
              <w:rPr>
                <w:b w:val="0"/>
                <w:sz w:val="21"/>
              </w:rPr>
              <w:t>FA Women's Super League 2018/19 – 2023/24</w:t>
            </w:r>
          </w:p>
        </w:tc>
        <w:tc>
          <w:tcPr>
            <w:tcW w:type="dxa" w:w="1417"/>
            <w:shd w:val="clear" w:color="auto" w:fill="EEF2F8"/>
          </w:tcPr>
          <w:p>
            <w:pPr>
              <w:spacing w:after="40" w:before="40"/>
            </w:pPr>
            <w:r/>
            <w:r>
              <w:rPr>
                <w:b w:val="0"/>
                <w:sz w:val="21"/>
              </w:rPr>
              <w:t>~460</w:t>
            </w:r>
          </w:p>
        </w:tc>
        <w:tc>
          <w:tcPr>
            <w:tcW w:type="dxa" w:w="3685"/>
            <w:shd w:val="clear" w:color="auto" w:fill="EEF2F8"/>
          </w:tcPr>
          <w:p>
            <w:pPr>
              <w:spacing w:after="40" w:before="40"/>
            </w:pPr>
            <w:r/>
            <w:r>
              <w:rPr>
                <w:b w:val="0"/>
                <w:sz w:val="21"/>
              </w:rPr>
              <w:t>Toàn giải, nhiều mùa liên tiếp</w:t>
            </w:r>
          </w:p>
        </w:tc>
      </w:tr>
      <w:tr>
        <w:tc>
          <w:tcPr>
            <w:tcW w:type="dxa" w:w="3969"/>
          </w:tcPr>
          <w:p>
            <w:pPr>
              <w:spacing w:after="40" w:before="40"/>
            </w:pPr>
            <w:r/>
            <w:r>
              <w:rPr>
                <w:b w:val="0"/>
                <w:sz w:val="21"/>
              </w:rPr>
              <w:t>Indian Super League 2020/21</w:t>
            </w:r>
          </w:p>
        </w:tc>
        <w:tc>
          <w:tcPr>
            <w:tcW w:type="dxa" w:w="1417"/>
          </w:tcPr>
          <w:p>
            <w:pPr>
              <w:spacing w:after="40" w:before="40"/>
            </w:pPr>
            <w:r/>
            <w:r>
              <w:rPr>
                <w:b w:val="0"/>
                <w:sz w:val="21"/>
              </w:rPr>
              <w:t>~115</w:t>
            </w:r>
          </w:p>
        </w:tc>
        <w:tc>
          <w:tcPr>
            <w:tcW w:type="dxa" w:w="3685"/>
          </w:tcPr>
          <w:p>
            <w:pPr>
              <w:spacing w:after="40" w:before="40"/>
            </w:pPr>
            <w:r/>
            <w:r>
              <w:rPr>
                <w:b w:val="0"/>
                <w:sz w:val="21"/>
              </w:rPr>
              <w:t>Toàn giải</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F6E5"/>
          </w:tcPr>
          <w:p>
            <w:pPr>
              <w:spacing w:after="40"/>
            </w:pPr>
            <w:r/>
            <w:r>
              <w:rPr>
                <w:b/>
                <w:sz w:val="22"/>
              </w:rPr>
              <w:t xml:space="preserve">Đáng cân nhắc: </w:t>
            </w:r>
            <w:r>
              <w:rPr>
                <w:sz w:val="22"/>
              </w:rPr>
              <w:t>FA Women's Super League là một trong số rất ít giải được StatsBomb mở đầy đủ nhiều mùa liên tiếp. Nếu muốn phân tích diễn biến Hybrid Centrality của cùng một cầu thủ qua nhiều mùa, đây là lựa chọn tốt nhất trong toàn bộ kho dữ liệu.</w:t>
            </w:r>
          </w:p>
        </w:tc>
      </w:tr>
    </w:tbl>
    <w:p>
      <w:pPr>
        <w:spacing w:after="80"/>
      </w:pPr>
    </w:p>
    <w:p>
      <w:pPr>
        <w:pStyle w:val="Heading2"/>
      </w:pPr>
      <w:r>
        <w:t>3.3. Cấu trúc dữ liệu — đã kiểm chứng trực tiếp</w:t>
      </w:r>
    </w:p>
    <w:p>
      <w:pPr>
        <w:spacing w:after="120"/>
      </w:pPr>
      <w:r>
        <w:rPr>
          <w:b w:val="0"/>
          <w:i w:val="0"/>
          <w:sz w:val="24"/>
        </w:rPr>
        <w:t>Kiểm tra trên file data/events/3754217.json (Chelsea – Arsenal, Premier League 2015/16).</w:t>
      </w:r>
    </w:p>
    <w:p>
      <w:pPr>
        <w:spacing w:after="120"/>
      </w:pPr>
      <w:r>
        <w:rPr>
          <w:b/>
          <w:i w:val="0"/>
          <w:sz w:val="24"/>
        </w:rPr>
        <w:t>Các khóa cấp cao nhất của một event:</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line="240" w:lineRule="auto"/>
            </w:pPr>
            <w:r/>
            <w:r>
              <w:rPr>
                <w:rFonts w:ascii="Consolas" w:hAnsi="Consolas" w:eastAsia="Consolas"/>
                <w:sz w:val="19"/>
              </w:rPr>
              <w:t>id, index, period, timestamp, minute, second, type, team, duration,</w:t>
            </w:r>
          </w:p>
          <w:p>
            <w:pPr>
              <w:spacing w:after="0" w:line="240" w:lineRule="auto"/>
            </w:pPr>
            <w:r>
              <w:rPr>
                <w:rFonts w:ascii="Consolas" w:hAnsi="Consolas" w:eastAsia="Consolas"/>
                <w:sz w:val="19"/>
              </w:rPr>
              <w:t>possession, possession_team, play_pattern, location, player</w:t>
            </w:r>
          </w:p>
        </w:tc>
      </w:tr>
    </w:tbl>
    <w:p>
      <w:pPr>
        <w:spacing w:after="80"/>
      </w:pPr>
    </w:p>
    <w:p>
      <w:pPr>
        <w:spacing w:after="120"/>
      </w:pPr>
      <w:r>
        <w:rPr>
          <w:b/>
          <w:i w:val="0"/>
          <w:sz w:val="24"/>
        </w:rPr>
        <w:t>Ba trường quyết định đều có mặt trong dữ liệu mùa 2015/16:</w:t>
      </w:r>
    </w:p>
    <w:tbl>
      <w:tblPr>
        <w:tblStyle w:val="TableGrid"/>
        <w:tblW w:type="auto" w:w="0"/>
        <w:jc w:val="center"/>
        <w:tblLook w:firstColumn="1" w:firstRow="1" w:lastColumn="0" w:lastRow="0" w:noHBand="0" w:noVBand="1" w:val="04A0"/>
      </w:tblPr>
      <w:tblGrid>
        <w:gridCol w:w="4844"/>
        <w:gridCol w:w="4844"/>
      </w:tblGrid>
      <w:tr>
        <w:tc>
          <w:tcPr>
            <w:tcW w:type="dxa" w:w="2551"/>
            <w:shd w:val="clear" w:color="auto" w:fill="1F3864"/>
          </w:tcPr>
          <w:p>
            <w:pPr>
              <w:spacing w:after="40" w:before="40"/>
            </w:pPr>
            <w:r/>
            <w:r>
              <w:rPr>
                <w:b/>
                <w:color w:val="FFFFFF"/>
                <w:sz w:val="21"/>
              </w:rPr>
              <w:t>Trường</w:t>
            </w:r>
          </w:p>
        </w:tc>
        <w:tc>
          <w:tcPr>
            <w:tcW w:type="dxa" w:w="6520"/>
            <w:shd w:val="clear" w:color="auto" w:fill="1F3864"/>
          </w:tcPr>
          <w:p>
            <w:pPr>
              <w:spacing w:after="40" w:before="40"/>
            </w:pPr>
            <w:r/>
            <w:r>
              <w:rPr>
                <w:b/>
                <w:color w:val="FFFFFF"/>
                <w:sz w:val="21"/>
              </w:rPr>
              <w:t>Dùng cho</w:t>
            </w:r>
          </w:p>
        </w:tc>
      </w:tr>
      <w:tr>
        <w:tc>
          <w:tcPr>
            <w:tcW w:type="dxa" w:w="2551"/>
          </w:tcPr>
          <w:p>
            <w:pPr>
              <w:spacing w:after="40" w:before="40"/>
            </w:pPr>
            <w:r/>
            <w:r>
              <w:rPr>
                <w:rFonts w:ascii="Consolas" w:hAnsi="Consolas" w:eastAsia="Consolas"/>
                <w:b w:val="0"/>
                <w:sz w:val="21"/>
              </w:rPr>
              <w:t>possession</w:t>
            </w:r>
          </w:p>
        </w:tc>
        <w:tc>
          <w:tcPr>
            <w:tcW w:type="dxa" w:w="6520"/>
          </w:tcPr>
          <w:p>
            <w:pPr>
              <w:spacing w:after="40" w:before="40"/>
            </w:pPr>
            <w:r/>
            <w:r>
              <w:rPr>
                <w:b w:val="0"/>
                <w:sz w:val="21"/>
              </w:rPr>
              <w:t>Nhóm event thành possession sequence — Bước 2.1</w:t>
            </w:r>
          </w:p>
        </w:tc>
      </w:tr>
      <w:tr>
        <w:tc>
          <w:tcPr>
            <w:tcW w:type="dxa" w:w="2551"/>
            <w:shd w:val="clear" w:color="auto" w:fill="EEF2F8"/>
          </w:tcPr>
          <w:p>
            <w:pPr>
              <w:spacing w:after="40" w:before="40"/>
            </w:pPr>
            <w:r/>
            <w:r>
              <w:rPr>
                <w:rFonts w:ascii="Consolas" w:hAnsi="Consolas" w:eastAsia="Consolas"/>
                <w:b w:val="0"/>
                <w:sz w:val="21"/>
              </w:rPr>
              <w:t>possession_team</w:t>
            </w:r>
          </w:p>
        </w:tc>
        <w:tc>
          <w:tcPr>
            <w:tcW w:type="dxa" w:w="6520"/>
            <w:shd w:val="clear" w:color="auto" w:fill="EEF2F8"/>
          </w:tcPr>
          <w:p>
            <w:pPr>
              <w:spacing w:after="40" w:before="40"/>
            </w:pPr>
            <w:r/>
            <w:r>
              <w:rPr>
                <w:b w:val="0"/>
                <w:sz w:val="21"/>
              </w:rPr>
              <w:t>Xác định đội đang kiểm soát bóng</w:t>
            </w:r>
          </w:p>
        </w:tc>
      </w:tr>
      <w:tr>
        <w:tc>
          <w:tcPr>
            <w:tcW w:type="dxa" w:w="2551"/>
          </w:tcPr>
          <w:p>
            <w:pPr>
              <w:spacing w:after="40" w:before="40"/>
            </w:pPr>
            <w:r/>
            <w:r>
              <w:rPr>
                <w:rFonts w:ascii="Consolas" w:hAnsi="Consolas" w:eastAsia="Consolas"/>
                <w:b w:val="0"/>
                <w:sz w:val="21"/>
              </w:rPr>
              <w:t>play_pattern</w:t>
            </w:r>
          </w:p>
        </w:tc>
        <w:tc>
          <w:tcPr>
            <w:tcW w:type="dxa" w:w="6520"/>
          </w:tcPr>
          <w:p>
            <w:pPr>
              <w:spacing w:after="40" w:before="40"/>
            </w:pPr>
            <w:r/>
            <w:r>
              <w:rPr>
                <w:b w:val="0"/>
                <w:sz w:val="21"/>
              </w:rPr>
              <w:t>Lọc bóng sống / tình huống cố định; hữu ích khi giới hạn phạm vi open-play</w:t>
            </w:r>
          </w:p>
        </w:tc>
      </w:tr>
    </w:tbl>
    <w:p>
      <w:pPr>
        <w:spacing w:after="80"/>
      </w:pPr>
    </w:p>
    <w:p>
      <w:pPr>
        <w:spacing w:after="120"/>
      </w:pPr>
      <w:r>
        <w:rPr>
          <w:b/>
          <w:i w:val="0"/>
          <w:sz w:val="24"/>
        </w:rPr>
        <w:t>Đối tượng pass của một đường chuyền:</w:t>
      </w:r>
    </w:p>
    <w:tbl>
      <w:tblPr>
        <w:tblStyle w:val="TableGrid"/>
        <w:tblW w:type="auto" w:w="0"/>
        <w:jc w:val="center"/>
        <w:tblLook w:firstColumn="1" w:firstRow="1" w:lastColumn="0" w:lastRow="0" w:noHBand="0" w:noVBand="1" w:val="04A0"/>
      </w:tblPr>
      <w:tblGrid>
        <w:gridCol w:w="4844"/>
        <w:gridCol w:w="4844"/>
      </w:tblGrid>
      <w:tr>
        <w:tc>
          <w:tcPr>
            <w:tcW w:type="dxa" w:w="2551"/>
            <w:shd w:val="clear" w:color="auto" w:fill="1F3864"/>
          </w:tcPr>
          <w:p>
            <w:pPr>
              <w:spacing w:after="40" w:before="40"/>
            </w:pPr>
            <w:r/>
            <w:r>
              <w:rPr>
                <w:b/>
                <w:color w:val="FFFFFF"/>
                <w:sz w:val="21"/>
              </w:rPr>
              <w:t>Trường</w:t>
            </w:r>
          </w:p>
        </w:tc>
        <w:tc>
          <w:tcPr>
            <w:tcW w:type="dxa" w:w="6520"/>
            <w:shd w:val="clear" w:color="auto" w:fill="1F3864"/>
          </w:tcPr>
          <w:p>
            <w:pPr>
              <w:spacing w:after="40" w:before="40"/>
            </w:pPr>
            <w:r/>
            <w:r>
              <w:rPr>
                <w:b/>
                <w:color w:val="FFFFFF"/>
                <w:sz w:val="21"/>
              </w:rPr>
              <w:t>Dùng cho</w:t>
            </w:r>
          </w:p>
        </w:tc>
      </w:tr>
      <w:tr>
        <w:tc>
          <w:tcPr>
            <w:tcW w:type="dxa" w:w="2551"/>
          </w:tcPr>
          <w:p>
            <w:pPr>
              <w:spacing w:after="40" w:before="40"/>
            </w:pPr>
            <w:r/>
            <w:r>
              <w:rPr>
                <w:rFonts w:ascii="Consolas" w:hAnsi="Consolas" w:eastAsia="Consolas"/>
                <w:b w:val="0"/>
                <w:sz w:val="21"/>
              </w:rPr>
              <w:t>recipient</w:t>
            </w:r>
          </w:p>
        </w:tc>
        <w:tc>
          <w:tcPr>
            <w:tcW w:type="dxa" w:w="6520"/>
          </w:tcPr>
          <w:p>
            <w:pPr>
              <w:spacing w:after="40" w:before="40"/>
            </w:pPr>
            <w:r/>
            <w:r>
              <w:rPr>
                <w:b w:val="0"/>
                <w:sz w:val="21"/>
              </w:rPr>
              <w:t>Đỉnh đích của cạnh — trường quan trọng nhất; thiếu nó thì không dựng được đồ thị</w:t>
            </w:r>
          </w:p>
        </w:tc>
      </w:tr>
      <w:tr>
        <w:tc>
          <w:tcPr>
            <w:tcW w:type="dxa" w:w="2551"/>
            <w:shd w:val="clear" w:color="auto" w:fill="EEF2F8"/>
          </w:tcPr>
          <w:p>
            <w:pPr>
              <w:spacing w:after="40" w:before="40"/>
            </w:pPr>
            <w:r/>
            <w:r>
              <w:rPr>
                <w:rFonts w:ascii="Consolas" w:hAnsi="Consolas" w:eastAsia="Consolas"/>
                <w:b w:val="0"/>
                <w:sz w:val="21"/>
              </w:rPr>
              <w:t>end_location</w:t>
            </w:r>
          </w:p>
        </w:tc>
        <w:tc>
          <w:tcPr>
            <w:tcW w:type="dxa" w:w="6520"/>
            <w:shd w:val="clear" w:color="auto" w:fill="EEF2F8"/>
          </w:tcPr>
          <w:p>
            <w:pPr>
              <w:spacing w:after="40" w:before="40"/>
            </w:pPr>
            <w:r/>
            <w:r>
              <w:rPr>
                <w:b w:val="0"/>
                <w:sz w:val="21"/>
              </w:rPr>
              <w:t>Tọa độ điểm nhận (x2, y2) — Bước 3.2</w:t>
            </w:r>
          </w:p>
        </w:tc>
      </w:tr>
      <w:tr>
        <w:tc>
          <w:tcPr>
            <w:tcW w:type="dxa" w:w="2551"/>
          </w:tcPr>
          <w:p>
            <w:pPr>
              <w:spacing w:after="40" w:before="40"/>
            </w:pPr>
            <w:r/>
            <w:r>
              <w:rPr>
                <w:rFonts w:ascii="Consolas" w:hAnsi="Consolas" w:eastAsia="Consolas"/>
                <w:b w:val="0"/>
                <w:sz w:val="21"/>
              </w:rPr>
              <w:t>length</w:t>
            </w:r>
          </w:p>
        </w:tc>
        <w:tc>
          <w:tcPr>
            <w:tcW w:type="dxa" w:w="6520"/>
          </w:tcPr>
          <w:p>
            <w:pPr>
              <w:spacing w:after="40" w:before="40"/>
            </w:pPr>
            <w:r/>
            <w:r>
              <w:rPr>
                <w:b w:val="0"/>
                <w:sz w:val="21"/>
              </w:rPr>
              <w:t>Khoảng cách chuyền</w:t>
            </w:r>
          </w:p>
        </w:tc>
      </w:tr>
      <w:tr>
        <w:tc>
          <w:tcPr>
            <w:tcW w:type="dxa" w:w="2551"/>
            <w:shd w:val="clear" w:color="auto" w:fill="EEF2F8"/>
          </w:tcPr>
          <w:p>
            <w:pPr>
              <w:spacing w:after="40" w:before="40"/>
            </w:pPr>
            <w:r/>
            <w:r>
              <w:rPr>
                <w:rFonts w:ascii="Consolas" w:hAnsi="Consolas" w:eastAsia="Consolas"/>
                <w:b w:val="0"/>
                <w:sz w:val="21"/>
              </w:rPr>
              <w:t>angle</w:t>
            </w:r>
          </w:p>
        </w:tc>
        <w:tc>
          <w:tcPr>
            <w:tcW w:type="dxa" w:w="6520"/>
            <w:shd w:val="clear" w:color="auto" w:fill="EEF2F8"/>
          </w:tcPr>
          <w:p>
            <w:pPr>
              <w:spacing w:after="40" w:before="40"/>
            </w:pPr>
            <w:r/>
            <w:r>
              <w:rPr>
                <w:b w:val="0"/>
                <w:sz w:val="21"/>
              </w:rPr>
              <w:t>Góc chuyền (radian)</w:t>
            </w:r>
          </w:p>
        </w:tc>
      </w:tr>
      <w:tr>
        <w:tc>
          <w:tcPr>
            <w:tcW w:type="dxa" w:w="2551"/>
          </w:tcPr>
          <w:p>
            <w:pPr>
              <w:spacing w:after="40" w:before="40"/>
            </w:pPr>
            <w:r/>
            <w:r>
              <w:rPr>
                <w:rFonts w:ascii="Consolas" w:hAnsi="Consolas" w:eastAsia="Consolas"/>
                <w:b w:val="0"/>
                <w:sz w:val="21"/>
              </w:rPr>
              <w:t>height</w:t>
            </w:r>
          </w:p>
        </w:tc>
        <w:tc>
          <w:tcPr>
            <w:tcW w:type="dxa" w:w="6520"/>
          </w:tcPr>
          <w:p>
            <w:pPr>
              <w:spacing w:after="40" w:before="40"/>
            </w:pPr>
            <w:r/>
            <w:r>
              <w:rPr>
                <w:b w:val="0"/>
                <w:sz w:val="21"/>
              </w:rPr>
              <w:t>Ground / Low / High Pass</w:t>
            </w:r>
          </w:p>
        </w:tc>
      </w:tr>
      <w:tr>
        <w:tc>
          <w:tcPr>
            <w:tcW w:type="dxa" w:w="2551"/>
            <w:shd w:val="clear" w:color="auto" w:fill="EEF2F8"/>
          </w:tcPr>
          <w:p>
            <w:pPr>
              <w:spacing w:after="40" w:before="40"/>
            </w:pPr>
            <w:r/>
            <w:r>
              <w:rPr>
                <w:rFonts w:ascii="Consolas" w:hAnsi="Consolas" w:eastAsia="Consolas"/>
                <w:b w:val="0"/>
                <w:sz w:val="21"/>
              </w:rPr>
              <w:t>outcome</w:t>
            </w:r>
          </w:p>
        </w:tc>
        <w:tc>
          <w:tcPr>
            <w:tcW w:type="dxa" w:w="6520"/>
            <w:shd w:val="clear" w:color="auto" w:fill="EEF2F8"/>
          </w:tcPr>
          <w:p>
            <w:pPr>
              <w:spacing w:after="40" w:before="40"/>
            </w:pPr>
            <w:r/>
            <w:r>
              <w:rPr>
                <w:b w:val="0"/>
                <w:sz w:val="21"/>
              </w:rPr>
              <w:t>Rỗng nghĩa là chuyền thành công; có giá trị nghĩa là hỏng (Incomplete, Out…)</w:t>
            </w:r>
          </w:p>
        </w:tc>
      </w:tr>
      <w:tr>
        <w:tc>
          <w:tcPr>
            <w:tcW w:type="dxa" w:w="2551"/>
          </w:tcPr>
          <w:p>
            <w:pPr>
              <w:spacing w:after="40" w:before="40"/>
            </w:pPr>
            <w:r/>
            <w:r>
              <w:rPr>
                <w:rFonts w:ascii="Consolas" w:hAnsi="Consolas" w:eastAsia="Consolas"/>
                <w:b w:val="0"/>
                <w:sz w:val="21"/>
              </w:rPr>
              <w:t>body_part, technique,</w:t>
            </w:r>
          </w:p>
          <w:p>
            <w:pPr>
              <w:spacing w:after="40"/>
            </w:pPr>
            <w:r>
              <w:rPr>
                <w:rFonts w:ascii="Consolas" w:hAnsi="Consolas" w:eastAsia="Consolas"/>
                <w:b w:val="0"/>
                <w:sz w:val="21"/>
              </w:rPr>
              <w:t>cross, under_pressure</w:t>
            </w:r>
          </w:p>
        </w:tc>
        <w:tc>
          <w:tcPr>
            <w:tcW w:type="dxa" w:w="6520"/>
          </w:tcPr>
          <w:p>
            <w:pPr>
              <w:spacing w:after="40" w:before="40"/>
            </w:pPr>
            <w:r/>
            <w:r>
              <w:rPr>
                <w:b w:val="0"/>
                <w:sz w:val="21"/>
              </w:rPr>
              <w:t>Đặc trưng bổ sung tùy chọn</w:t>
            </w:r>
          </w:p>
        </w:tc>
      </w:tr>
    </w:tbl>
    <w:p>
      <w:pPr>
        <w:spacing w:after="80"/>
      </w:pPr>
    </w:p>
    <w:p>
      <w:pPr>
        <w:spacing w:after="120"/>
      </w:pPr>
      <w:r>
        <w:rPr>
          <w:b w:val="0"/>
          <w:i w:val="0"/>
          <w:sz w:val="24"/>
        </w:rPr>
        <w:t>Toàn bộ đặc trưng cạnh liệt kê trong quy trình mục 3.2 đều lấy được trực tiếp, không cần suy diễn.</w:t>
      </w:r>
    </w:p>
    <w:p>
      <w:pPr>
        <w:pStyle w:val="Heading2"/>
      </w:pPr>
      <w:r>
        <w:t>3.4. Giấy phép và nghĩa vụ trích dẫn</w:t>
      </w:r>
    </w:p>
    <w:p>
      <w:pPr>
        <w:spacing w:after="120"/>
      </w:pPr>
      <w:r>
        <w:rPr>
          <w:b w:val="0"/>
          <w:i w:val="0"/>
          <w:sz w:val="24"/>
        </w:rPr>
        <w:t>Terms of use hướng nghiên cứu. Trích nguyên văn từ README của kho dữ liệu:</w:t>
      </w:r>
    </w:p>
    <w:p>
      <w:pPr>
        <w:spacing w:after="120"/>
        <w:ind w:left="567"/>
      </w:pPr>
      <w:r>
        <w:rPr>
          <w:i/>
          <w:sz w:val="23"/>
        </w:rPr>
        <w:t>“If you publish, share or distribute any research, analysis or insights based on this data, please state the data source as StatsBomb and use our logo”</w:t>
      </w:r>
    </w:p>
    <w:p>
      <w:pPr>
        <w:spacing w:after="120"/>
      </w:pPr>
      <w:r>
        <w:rPr>
          <w:b/>
          <w:i w:val="0"/>
          <w:sz w:val="24"/>
        </w:rPr>
        <w:t xml:space="preserve">Nghĩa vụ cụ thể: </w:t>
      </w:r>
      <w:r>
        <w:rPr>
          <w:b w:val="0"/>
          <w:i w:val="0"/>
          <w:sz w:val="24"/>
        </w:rPr>
        <w:t>ghi rõ nguồn StatsBomb và chèn logo StatsBomb trong khóa luận, bài báo và slide bảo vệ. Logo lấy từ Media Pack của StatsBomb.</w:t>
      </w:r>
    </w:p>
    <w:p>
      <w:pPr>
        <w:pStyle w:val="Heading2"/>
      </w:pPr>
      <w:r>
        <w:t>3.5. Đánh giá</w:t>
      </w:r>
    </w:p>
    <w:tbl>
      <w:tblPr>
        <w:tblStyle w:val="TableGrid"/>
        <w:tblW w:type="auto" w:w="0"/>
        <w:jc w:val="center"/>
        <w:tblLook w:firstColumn="1" w:firstRow="1" w:lastColumn="0" w:lastRow="0" w:noHBand="0" w:noVBand="1" w:val="04A0"/>
      </w:tblPr>
      <w:tblGrid>
        <w:gridCol w:w="4844"/>
        <w:gridCol w:w="4844"/>
      </w:tblGrid>
      <w:tr>
        <w:tc>
          <w:tcPr>
            <w:tcW w:type="dxa" w:w="4535"/>
            <w:shd w:val="clear" w:color="auto" w:fill="1F3864"/>
          </w:tcPr>
          <w:p>
            <w:pPr>
              <w:spacing w:after="40" w:before="40"/>
            </w:pPr>
            <w:r/>
            <w:r>
              <w:rPr>
                <w:b/>
                <w:color w:val="FFFFFF"/>
                <w:sz w:val="21"/>
              </w:rPr>
              <w:t>Ưu điểm</w:t>
            </w:r>
          </w:p>
        </w:tc>
        <w:tc>
          <w:tcPr>
            <w:tcW w:type="dxa" w:w="4535"/>
            <w:shd w:val="clear" w:color="auto" w:fill="1F3864"/>
          </w:tcPr>
          <w:p>
            <w:pPr>
              <w:spacing w:after="40" w:before="40"/>
            </w:pPr>
            <w:r/>
            <w:r>
              <w:rPr>
                <w:b/>
                <w:color w:val="FFFFFF"/>
                <w:sz w:val="21"/>
              </w:rPr>
              <w:t>Hạn chế</w:t>
            </w:r>
          </w:p>
        </w:tc>
      </w:tr>
      <w:tr>
        <w:tc>
          <w:tcPr>
            <w:tcW w:type="dxa" w:w="4535"/>
          </w:tcPr>
          <w:p>
            <w:pPr>
              <w:spacing w:after="40" w:before="40"/>
            </w:pPr>
            <w:r/>
            <w:r>
              <w:rPr>
                <w:b w:val="0"/>
                <w:sz w:val="21"/>
              </w:rPr>
              <w:t>Có sẵn trường possession — không phải tự tái tạo</w:t>
            </w:r>
          </w:p>
        </w:tc>
        <w:tc>
          <w:tcPr>
            <w:tcW w:type="dxa" w:w="4535"/>
          </w:tcPr>
          <w:p>
            <w:pPr>
              <w:spacing w:after="40" w:before="40"/>
            </w:pPr>
            <w:r/>
            <w:r>
              <w:rPr>
                <w:b w:val="0"/>
                <w:sz w:val="21"/>
              </w:rPr>
              <w:t>Không có Bundesliga full season</w:t>
            </w:r>
          </w:p>
        </w:tc>
      </w:tr>
      <w:tr>
        <w:tc>
          <w:tcPr>
            <w:tcW w:type="dxa" w:w="4535"/>
            <w:shd w:val="clear" w:color="auto" w:fill="EEF2F8"/>
          </w:tcPr>
          <w:p>
            <w:pPr>
              <w:spacing w:after="40" w:before="40"/>
            </w:pPr>
            <w:r/>
            <w:r>
              <w:rPr>
                <w:b w:val="0"/>
                <w:sz w:val="21"/>
              </w:rPr>
              <w:t>Đặc trưng đường chuyền chi tiết nhất trong các nguồn mở</w:t>
            </w:r>
          </w:p>
        </w:tc>
        <w:tc>
          <w:tcPr>
            <w:tcW w:type="dxa" w:w="4535"/>
            <w:shd w:val="clear" w:color="auto" w:fill="EEF2F8"/>
          </w:tcPr>
          <w:p>
            <w:pPr>
              <w:spacing w:after="40" w:before="40"/>
            </w:pPr>
            <w:r/>
            <w:r>
              <w:rPr>
                <w:b w:val="0"/>
                <w:sz w:val="21"/>
              </w:rPr>
              <w:t>Mùa 2015/16 đã cũ so với 2023/24</w:t>
            </w:r>
          </w:p>
        </w:tc>
      </w:tr>
      <w:tr>
        <w:tc>
          <w:tcPr>
            <w:tcW w:type="dxa" w:w="4535"/>
          </w:tcPr>
          <w:p>
            <w:pPr>
              <w:spacing w:after="40" w:before="40"/>
            </w:pPr>
            <w:r/>
            <w:r>
              <w:rPr>
                <w:b w:val="0"/>
                <w:sz w:val="21"/>
              </w:rPr>
              <w:t>Giữ đúng nhà cung cấp đã cam kết với giảng viên</w:t>
            </w:r>
          </w:p>
        </w:tc>
        <w:tc>
          <w:tcPr>
            <w:tcW w:type="dxa" w:w="4535"/>
          </w:tcPr>
          <w:p>
            <w:pPr>
              <w:spacing w:after="40" w:before="40"/>
            </w:pPr>
            <w:r/>
            <w:r>
              <w:rPr>
                <w:b w:val="0"/>
                <w:sz w:val="21"/>
              </w:rPr>
              <w:t>Tài liệu kỹ thuật là spec PDF, không phải bài báo bình duyệt</w:t>
            </w:r>
          </w:p>
        </w:tc>
      </w:tr>
      <w:tr>
        <w:tc>
          <w:tcPr>
            <w:tcW w:type="dxa" w:w="4535"/>
            <w:shd w:val="clear" w:color="auto" w:fill="EEF2F8"/>
          </w:tcPr>
          <w:p>
            <w:pPr>
              <w:spacing w:after="40" w:before="40"/>
            </w:pPr>
            <w:r/>
            <w:r>
              <w:rPr>
                <w:b w:val="0"/>
                <w:sz w:val="21"/>
              </w:rPr>
              <w:t>Cỡ mẫu ~1.517 trận, gấp khoảng 30 lần kế hoạch cũ</w:t>
            </w:r>
          </w:p>
        </w:tc>
        <w:tc>
          <w:tcPr>
            <w:tcW w:type="dxa" w:w="4535"/>
            <w:shd w:val="clear" w:color="auto" w:fill="EEF2F8"/>
          </w:tcPr>
          <w:p>
            <w:pPr>
              <w:spacing w:after="40" w:before="40"/>
            </w:pPr>
            <w:r/>
            <w:r>
              <w:rPr>
                <w:b w:val="0"/>
                <w:sz w:val="21"/>
              </w:rPr>
              <w:t>Nghĩa vụ chèn logo khi công bố</w:t>
            </w:r>
          </w:p>
        </w:tc>
      </w:tr>
      <w:tr>
        <w:tc>
          <w:tcPr>
            <w:tcW w:type="dxa" w:w="4535"/>
          </w:tcPr>
          <w:p>
            <w:pPr>
              <w:spacing w:after="40" w:before="40"/>
            </w:pPr>
            <w:r/>
            <w:r>
              <w:rPr>
                <w:b w:val="0"/>
                <w:sz w:val="21"/>
              </w:rPr>
              <w:t>Thư viện statsbombpy chính chủ, ổn định</w:t>
            </w:r>
          </w:p>
        </w:tc>
        <w:tc>
          <w:tcPr>
            <w:tcW w:type="dxa" w:w="4535"/>
          </w:tcPr>
          <w:p>
            <w:pPr>
              <w:spacing w:after="40" w:before="40"/>
            </w:pPr>
            <w:r/>
            <w:r>
              <w:rPr>
                <w:b w:val="0"/>
                <w:sz w:val="21"/>
              </w:rPr>
            </w:r>
          </w:p>
        </w:tc>
      </w:tr>
    </w:tbl>
    <w:p>
      <w:pPr>
        <w:spacing w:after="80"/>
      </w:pPr>
    </w:p>
    <w:p>
      <w:r>
        <w:br w:type="page"/>
      </w:r>
    </w:p>
    <w:p>
      <w:pPr>
        <w:pStyle w:val="Heading1"/>
      </w:pPr>
      <w:r>
        <w:t>4. Dataset ② — Wyscout / Pappalardo et al. 2019</w:t>
      </w:r>
    </w:p>
    <w:p>
      <w:pPr>
        <w:pStyle w:val="Heading2"/>
      </w:pPr>
      <w:r>
        <w:t>4.1. Trích dẫn đầy đủ</w:t>
      </w:r>
    </w:p>
    <w:p>
      <w:pPr>
        <w:spacing w:after="160"/>
        <w:ind w:left="567"/>
      </w:pPr>
      <w:r>
        <w:rPr>
          <w:i/>
          <w:sz w:val="23"/>
        </w:rPr>
        <w:t>Pappalardo, L., Cintia, P., Rossi, A., Massucco, E., Ferragina, P., Pedreschi, D., &amp; Giannotti, F. (2019). A public data set of spatio-temporal match events in soccer competitions. Scientific Data, 6, 236.</w:t>
      </w:r>
    </w:p>
    <w:tbl>
      <w:tblPr>
        <w:tblStyle w:val="TableGrid"/>
        <w:tblW w:type="auto" w:w="0"/>
        <w:jc w:val="center"/>
        <w:tblLook w:firstColumn="1" w:firstRow="1" w:lastColumn="0" w:lastRow="0" w:noHBand="0" w:noVBand="1" w:val="04A0"/>
      </w:tblPr>
      <w:tblGrid>
        <w:gridCol w:w="4844"/>
        <w:gridCol w:w="4844"/>
      </w:tblGrid>
      <w:tr>
        <w:tc>
          <w:tcPr>
            <w:tcW w:type="dxa" w:w="2551"/>
            <w:shd w:val="clear" w:color="auto" w:fill="1F3864"/>
          </w:tcPr>
          <w:p>
            <w:pPr>
              <w:spacing w:after="40" w:before="40"/>
            </w:pPr>
            <w:r/>
            <w:r>
              <w:rPr>
                <w:b/>
                <w:color w:val="FFFFFF"/>
                <w:sz w:val="21"/>
              </w:rPr>
              <w:t>Hạng mục</w:t>
            </w:r>
          </w:p>
        </w:tc>
        <w:tc>
          <w:tcPr>
            <w:tcW w:type="dxa" w:w="6520"/>
            <w:shd w:val="clear" w:color="auto" w:fill="1F3864"/>
          </w:tcPr>
          <w:p>
            <w:pPr>
              <w:spacing w:after="40" w:before="40"/>
            </w:pPr>
            <w:r/>
            <w:r>
              <w:rPr>
                <w:b/>
                <w:color w:val="FFFFFF"/>
                <w:sz w:val="21"/>
              </w:rPr>
              <w:t>Nội dung</w:t>
            </w:r>
          </w:p>
        </w:tc>
      </w:tr>
      <w:tr>
        <w:tc>
          <w:tcPr>
            <w:tcW w:type="dxa" w:w="2551"/>
          </w:tcPr>
          <w:p>
            <w:pPr>
              <w:spacing w:after="40" w:before="40"/>
            </w:pPr>
            <w:r/>
            <w:r>
              <w:rPr>
                <w:b w:val="0"/>
                <w:sz w:val="21"/>
              </w:rPr>
              <w:t>DOI dữ liệu</w:t>
            </w:r>
          </w:p>
        </w:tc>
        <w:tc>
          <w:tcPr>
            <w:tcW w:type="dxa" w:w="6520"/>
          </w:tcPr>
          <w:p>
            <w:pPr>
              <w:spacing w:after="40" w:before="40"/>
            </w:pPr>
            <w:r/>
            <w:r>
              <w:rPr>
                <w:b w:val="0"/>
                <w:sz w:val="21"/>
              </w:rPr>
              <w:t>10.6084/m9.figshare.c.4415000.v2</w:t>
            </w:r>
          </w:p>
        </w:tc>
      </w:tr>
      <w:tr>
        <w:tc>
          <w:tcPr>
            <w:tcW w:type="dxa" w:w="2551"/>
            <w:shd w:val="clear" w:color="auto" w:fill="EEF2F8"/>
          </w:tcPr>
          <w:p>
            <w:pPr>
              <w:spacing w:after="40" w:before="40"/>
            </w:pPr>
            <w:r/>
            <w:r>
              <w:rPr>
                <w:b w:val="0"/>
                <w:sz w:val="21"/>
              </w:rPr>
              <w:t>Giấy phép</w:t>
            </w:r>
          </w:p>
        </w:tc>
        <w:tc>
          <w:tcPr>
            <w:tcW w:type="dxa" w:w="6520"/>
            <w:shd w:val="clear" w:color="auto" w:fill="EEF2F8"/>
          </w:tcPr>
          <w:p>
            <w:pPr>
              <w:spacing w:after="40" w:before="40"/>
            </w:pPr>
            <w:r/>
            <w:r>
              <w:rPr>
                <w:b w:val="0"/>
                <w:sz w:val="21"/>
              </w:rPr>
              <w:t>CC BY 4.0</w:t>
            </w:r>
          </w:p>
        </w:tc>
      </w:tr>
      <w:tr>
        <w:tc>
          <w:tcPr>
            <w:tcW w:type="dxa" w:w="2551"/>
          </w:tcPr>
          <w:p>
            <w:pPr>
              <w:spacing w:after="40" w:before="40"/>
            </w:pPr>
            <w:r/>
            <w:r>
              <w:rPr>
                <w:b w:val="0"/>
                <w:sz w:val="21"/>
              </w:rPr>
              <w:t>Định dạng</w:t>
            </w:r>
          </w:p>
        </w:tc>
        <w:tc>
          <w:tcPr>
            <w:tcW w:type="dxa" w:w="6520"/>
          </w:tcPr>
          <w:p>
            <w:pPr>
              <w:spacing w:after="40" w:before="40"/>
            </w:pPr>
            <w:r/>
            <w:r>
              <w:rPr>
                <w:b w:val="0"/>
                <w:sz w:val="21"/>
              </w:rPr>
              <w:t>JSON</w:t>
            </w:r>
          </w:p>
        </w:tc>
      </w:tr>
      <w:tr>
        <w:tc>
          <w:tcPr>
            <w:tcW w:type="dxa" w:w="2551"/>
            <w:shd w:val="clear" w:color="auto" w:fill="EEF2F8"/>
          </w:tcPr>
          <w:p>
            <w:pPr>
              <w:spacing w:after="40" w:before="40"/>
            </w:pPr>
            <w:r/>
            <w:r>
              <w:rPr>
                <w:b w:val="0"/>
                <w:sz w:val="21"/>
              </w:rPr>
              <w:t>Nhà cung cấp gốc</w:t>
            </w:r>
          </w:p>
        </w:tc>
        <w:tc>
          <w:tcPr>
            <w:tcW w:type="dxa" w:w="6520"/>
            <w:shd w:val="clear" w:color="auto" w:fill="EEF2F8"/>
          </w:tcPr>
          <w:p>
            <w:pPr>
              <w:spacing w:after="40" w:before="40"/>
            </w:pPr>
            <w:r/>
            <w:r>
              <w:rPr>
                <w:b w:val="0"/>
                <w:sz w:val="21"/>
              </w:rPr>
              <w:t>Wyscout</w:t>
            </w:r>
          </w:p>
        </w:tc>
      </w:tr>
    </w:tbl>
    <w:p>
      <w:pPr>
        <w:spacing w:after="80"/>
      </w:pPr>
    </w:p>
    <w:p>
      <w:pPr>
        <w:pStyle w:val="Heading2"/>
      </w:pPr>
      <w:r>
        <w:t>4.2. Phạm vi</w:t>
      </w:r>
    </w:p>
    <w:tbl>
      <w:tblPr>
        <w:tblStyle w:val="TableGrid"/>
        <w:tblW w:type="auto" w:w="0"/>
        <w:jc w:val="center"/>
        <w:tblLook w:firstColumn="1" w:firstRow="1" w:lastColumn="0" w:lastRow="0" w:noHBand="0" w:noVBand="1" w:val="04A0"/>
      </w:tblPr>
      <w:tblGrid>
        <w:gridCol w:w="3230"/>
        <w:gridCol w:w="3230"/>
        <w:gridCol w:w="3230"/>
      </w:tblGrid>
      <w:tr>
        <w:tc>
          <w:tcPr>
            <w:tcW w:type="dxa" w:w="3969"/>
            <w:shd w:val="clear" w:color="auto" w:fill="1F3864"/>
          </w:tcPr>
          <w:p>
            <w:pPr>
              <w:spacing w:after="40" w:before="40"/>
            </w:pPr>
            <w:r/>
            <w:r>
              <w:rPr>
                <w:b/>
                <w:color w:val="FFFFFF"/>
                <w:sz w:val="21"/>
              </w:rPr>
              <w:t>Giải</w:t>
            </w:r>
          </w:p>
        </w:tc>
        <w:tc>
          <w:tcPr>
            <w:tcW w:type="dxa" w:w="2551"/>
            <w:shd w:val="clear" w:color="auto" w:fill="1F3864"/>
          </w:tcPr>
          <w:p>
            <w:pPr>
              <w:spacing w:after="40" w:before="40"/>
            </w:pPr>
            <w:r/>
            <w:r>
              <w:rPr>
                <w:b/>
                <w:color w:val="FFFFFF"/>
                <w:sz w:val="21"/>
              </w:rPr>
              <w:t>Mùa</w:t>
            </w:r>
          </w:p>
        </w:tc>
        <w:tc>
          <w:tcPr>
            <w:tcW w:type="dxa" w:w="2551"/>
            <w:shd w:val="clear" w:color="auto" w:fill="1F3864"/>
          </w:tcPr>
          <w:p>
            <w:pPr>
              <w:spacing w:after="40" w:before="40"/>
            </w:pPr>
            <w:r/>
            <w:r>
              <w:rPr>
                <w:b/>
                <w:color w:val="FFFFFF"/>
                <w:sz w:val="21"/>
              </w:rPr>
              <w:t>Số trận</w:t>
            </w:r>
          </w:p>
        </w:tc>
      </w:tr>
      <w:tr>
        <w:tc>
          <w:tcPr>
            <w:tcW w:type="dxa" w:w="3969"/>
          </w:tcPr>
          <w:p>
            <w:pPr>
              <w:spacing w:after="40" w:before="40"/>
            </w:pPr>
            <w:r/>
            <w:r>
              <w:rPr>
                <w:b w:val="0"/>
                <w:sz w:val="21"/>
              </w:rPr>
              <w:t>Premier League</w:t>
            </w:r>
          </w:p>
        </w:tc>
        <w:tc>
          <w:tcPr>
            <w:tcW w:type="dxa" w:w="2551"/>
          </w:tcPr>
          <w:p>
            <w:pPr>
              <w:spacing w:after="40" w:before="40"/>
            </w:pPr>
            <w:r/>
            <w:r>
              <w:rPr>
                <w:b w:val="0"/>
                <w:sz w:val="21"/>
              </w:rPr>
              <w:t>2017/18</w:t>
            </w:r>
          </w:p>
        </w:tc>
        <w:tc>
          <w:tcPr>
            <w:tcW w:type="dxa" w:w="2551"/>
          </w:tcPr>
          <w:p>
            <w:pPr>
              <w:spacing w:after="40" w:before="40"/>
            </w:pPr>
            <w:r/>
            <w:r>
              <w:rPr>
                <w:b w:val="0"/>
                <w:sz w:val="21"/>
              </w:rPr>
              <w:t>380</w:t>
            </w:r>
          </w:p>
        </w:tc>
      </w:tr>
      <w:tr>
        <w:tc>
          <w:tcPr>
            <w:tcW w:type="dxa" w:w="3969"/>
            <w:shd w:val="clear" w:color="auto" w:fill="EEF2F8"/>
          </w:tcPr>
          <w:p>
            <w:pPr>
              <w:spacing w:after="40" w:before="40"/>
            </w:pPr>
            <w:r/>
            <w:r>
              <w:rPr>
                <w:b w:val="0"/>
                <w:sz w:val="21"/>
              </w:rPr>
              <w:t>La Liga</w:t>
            </w:r>
          </w:p>
        </w:tc>
        <w:tc>
          <w:tcPr>
            <w:tcW w:type="dxa" w:w="2551"/>
            <w:shd w:val="clear" w:color="auto" w:fill="EEF2F8"/>
          </w:tcPr>
          <w:p>
            <w:pPr>
              <w:spacing w:after="40" w:before="40"/>
            </w:pPr>
            <w:r/>
            <w:r>
              <w:rPr>
                <w:b w:val="0"/>
                <w:sz w:val="21"/>
              </w:rPr>
              <w:t>2017/18</w:t>
            </w:r>
          </w:p>
        </w:tc>
        <w:tc>
          <w:tcPr>
            <w:tcW w:type="dxa" w:w="2551"/>
            <w:shd w:val="clear" w:color="auto" w:fill="EEF2F8"/>
          </w:tcPr>
          <w:p>
            <w:pPr>
              <w:spacing w:after="40" w:before="40"/>
            </w:pPr>
            <w:r/>
            <w:r>
              <w:rPr>
                <w:b w:val="0"/>
                <w:sz w:val="21"/>
              </w:rPr>
              <w:t>380</w:t>
            </w:r>
          </w:p>
        </w:tc>
      </w:tr>
      <w:tr>
        <w:tc>
          <w:tcPr>
            <w:tcW w:type="dxa" w:w="3969"/>
          </w:tcPr>
          <w:p>
            <w:pPr>
              <w:spacing w:after="40" w:before="40"/>
            </w:pPr>
            <w:r/>
            <w:r>
              <w:rPr>
                <w:b w:val="0"/>
                <w:sz w:val="21"/>
              </w:rPr>
              <w:t>Serie A</w:t>
            </w:r>
          </w:p>
        </w:tc>
        <w:tc>
          <w:tcPr>
            <w:tcW w:type="dxa" w:w="2551"/>
          </w:tcPr>
          <w:p>
            <w:pPr>
              <w:spacing w:after="40" w:before="40"/>
            </w:pPr>
            <w:r/>
            <w:r>
              <w:rPr>
                <w:b w:val="0"/>
                <w:sz w:val="21"/>
              </w:rPr>
              <w:t>2017/18</w:t>
            </w:r>
          </w:p>
        </w:tc>
        <w:tc>
          <w:tcPr>
            <w:tcW w:type="dxa" w:w="2551"/>
          </w:tcPr>
          <w:p>
            <w:pPr>
              <w:spacing w:after="40" w:before="40"/>
            </w:pPr>
            <w:r/>
            <w:r>
              <w:rPr>
                <w:b w:val="0"/>
                <w:sz w:val="21"/>
              </w:rPr>
              <w:t>380</w:t>
            </w:r>
          </w:p>
        </w:tc>
      </w:tr>
      <w:tr>
        <w:tc>
          <w:tcPr>
            <w:tcW w:type="dxa" w:w="3969"/>
            <w:shd w:val="clear" w:color="auto" w:fill="EEF2F8"/>
          </w:tcPr>
          <w:p>
            <w:pPr>
              <w:spacing w:after="40" w:before="40"/>
            </w:pPr>
            <w:r/>
            <w:r>
              <w:rPr>
                <w:b w:val="0"/>
                <w:sz w:val="21"/>
              </w:rPr>
              <w:t>Ligue 1</w:t>
            </w:r>
          </w:p>
        </w:tc>
        <w:tc>
          <w:tcPr>
            <w:tcW w:type="dxa" w:w="2551"/>
            <w:shd w:val="clear" w:color="auto" w:fill="EEF2F8"/>
          </w:tcPr>
          <w:p>
            <w:pPr>
              <w:spacing w:after="40" w:before="40"/>
            </w:pPr>
            <w:r/>
            <w:r>
              <w:rPr>
                <w:b w:val="0"/>
                <w:sz w:val="21"/>
              </w:rPr>
              <w:t>2017/18</w:t>
            </w:r>
          </w:p>
        </w:tc>
        <w:tc>
          <w:tcPr>
            <w:tcW w:type="dxa" w:w="2551"/>
            <w:shd w:val="clear" w:color="auto" w:fill="EEF2F8"/>
          </w:tcPr>
          <w:p>
            <w:pPr>
              <w:spacing w:after="40" w:before="40"/>
            </w:pPr>
            <w:r/>
            <w:r>
              <w:rPr>
                <w:b w:val="0"/>
                <w:sz w:val="21"/>
              </w:rPr>
              <w:t>380</w:t>
            </w:r>
          </w:p>
        </w:tc>
      </w:tr>
      <w:tr>
        <w:tc>
          <w:tcPr>
            <w:tcW w:type="dxa" w:w="3969"/>
          </w:tcPr>
          <w:p>
            <w:pPr>
              <w:spacing w:after="40" w:before="40"/>
            </w:pPr>
            <w:r/>
            <w:r>
              <w:rPr>
                <w:b w:val="0"/>
                <w:sz w:val="21"/>
              </w:rPr>
              <w:t>Bundesliga</w:t>
            </w:r>
          </w:p>
        </w:tc>
        <w:tc>
          <w:tcPr>
            <w:tcW w:type="dxa" w:w="2551"/>
          </w:tcPr>
          <w:p>
            <w:pPr>
              <w:spacing w:after="40" w:before="40"/>
            </w:pPr>
            <w:r/>
            <w:r>
              <w:rPr>
                <w:b w:val="0"/>
                <w:sz w:val="21"/>
              </w:rPr>
              <w:t>2017/18</w:t>
            </w:r>
          </w:p>
        </w:tc>
        <w:tc>
          <w:tcPr>
            <w:tcW w:type="dxa" w:w="2551"/>
          </w:tcPr>
          <w:p>
            <w:pPr>
              <w:spacing w:after="40" w:before="40"/>
            </w:pPr>
            <w:r/>
            <w:r>
              <w:rPr>
                <w:b w:val="0"/>
                <w:sz w:val="21"/>
              </w:rPr>
              <w:t>306</w:t>
            </w:r>
          </w:p>
        </w:tc>
      </w:tr>
      <w:tr>
        <w:tc>
          <w:tcPr>
            <w:tcW w:type="dxa" w:w="3969"/>
            <w:shd w:val="clear" w:color="auto" w:fill="EEF2F8"/>
          </w:tcPr>
          <w:p>
            <w:pPr>
              <w:spacing w:after="40" w:before="40"/>
            </w:pPr>
            <w:r/>
            <w:r>
              <w:rPr>
                <w:b w:val="0"/>
                <w:sz w:val="21"/>
              </w:rPr>
              <w:t>FIFA World Cup</w:t>
            </w:r>
          </w:p>
        </w:tc>
        <w:tc>
          <w:tcPr>
            <w:tcW w:type="dxa" w:w="2551"/>
            <w:shd w:val="clear" w:color="auto" w:fill="EEF2F8"/>
          </w:tcPr>
          <w:p>
            <w:pPr>
              <w:spacing w:after="40" w:before="40"/>
            </w:pPr>
            <w:r/>
            <w:r>
              <w:rPr>
                <w:b w:val="0"/>
                <w:sz w:val="21"/>
              </w:rPr>
              <w:t>2018</w:t>
            </w:r>
          </w:p>
        </w:tc>
        <w:tc>
          <w:tcPr>
            <w:tcW w:type="dxa" w:w="2551"/>
            <w:shd w:val="clear" w:color="auto" w:fill="EEF2F8"/>
          </w:tcPr>
          <w:p>
            <w:pPr>
              <w:spacing w:after="40" w:before="40"/>
            </w:pPr>
            <w:r/>
            <w:r>
              <w:rPr>
                <w:b w:val="0"/>
                <w:sz w:val="21"/>
              </w:rPr>
              <w:t>64</w:t>
            </w:r>
          </w:p>
        </w:tc>
      </w:tr>
      <w:tr>
        <w:tc>
          <w:tcPr>
            <w:tcW w:type="dxa" w:w="3969"/>
          </w:tcPr>
          <w:p>
            <w:pPr>
              <w:spacing w:after="40" w:before="40"/>
            </w:pPr>
            <w:r/>
            <w:r>
              <w:rPr>
                <w:b w:val="0"/>
                <w:sz w:val="21"/>
              </w:rPr>
              <w:t>UEFA Euro</w:t>
            </w:r>
          </w:p>
        </w:tc>
        <w:tc>
          <w:tcPr>
            <w:tcW w:type="dxa" w:w="2551"/>
          </w:tcPr>
          <w:p>
            <w:pPr>
              <w:spacing w:after="40" w:before="40"/>
            </w:pPr>
            <w:r/>
            <w:r>
              <w:rPr>
                <w:b w:val="0"/>
                <w:sz w:val="21"/>
              </w:rPr>
              <w:t>2016</w:t>
            </w:r>
          </w:p>
        </w:tc>
        <w:tc>
          <w:tcPr>
            <w:tcW w:type="dxa" w:w="2551"/>
          </w:tcPr>
          <w:p>
            <w:pPr>
              <w:spacing w:after="40" w:before="40"/>
            </w:pPr>
            <w:r/>
            <w:r>
              <w:rPr>
                <w:b w:val="0"/>
                <w:sz w:val="21"/>
              </w:rPr>
              <w:t>51</w:t>
            </w:r>
          </w:p>
        </w:tc>
      </w:tr>
      <w:tr>
        <w:tc>
          <w:tcPr>
            <w:tcW w:type="dxa" w:w="3969"/>
            <w:shd w:val="clear" w:color="auto" w:fill="EEF2F8"/>
          </w:tcPr>
          <w:p>
            <w:pPr>
              <w:spacing w:after="40" w:before="40"/>
            </w:pPr>
            <w:r/>
            <w:r>
              <w:rPr>
                <w:b w:val="0"/>
                <w:sz w:val="21"/>
              </w:rPr>
              <w:t>TỔNG</w:t>
            </w:r>
          </w:p>
        </w:tc>
        <w:tc>
          <w:tcPr>
            <w:tcW w:type="dxa" w:w="2551"/>
            <w:shd w:val="clear" w:color="auto" w:fill="EEF2F8"/>
          </w:tcPr>
          <w:p>
            <w:pPr>
              <w:spacing w:after="40" w:before="40"/>
            </w:pPr>
            <w:r/>
            <w:r>
              <w:rPr>
                <w:b w:val="0"/>
                <w:sz w:val="21"/>
              </w:rPr>
            </w:r>
          </w:p>
        </w:tc>
        <w:tc>
          <w:tcPr>
            <w:tcW w:type="dxa" w:w="2551"/>
            <w:shd w:val="clear" w:color="auto" w:fill="EEF2F8"/>
          </w:tcPr>
          <w:p>
            <w:pPr>
              <w:spacing w:after="40" w:before="40"/>
            </w:pPr>
            <w:r/>
            <w:r>
              <w:rPr>
                <w:b w:val="0"/>
                <w:sz w:val="21"/>
              </w:rPr>
              <w:t>1.941</w:t>
            </w:r>
          </w:p>
        </w:tc>
      </w:tr>
    </w:tbl>
    <w:p>
      <w:pPr>
        <w:spacing w:after="80"/>
      </w:pPr>
    </w:p>
    <w:p>
      <w:pPr>
        <w:spacing w:after="120"/>
      </w:pPr>
      <w:r>
        <w:rPr>
          <w:b/>
          <w:i w:val="0"/>
          <w:sz w:val="24"/>
        </w:rPr>
        <w:t>Tổng thể: 1.941 trận — 3.251.294 event — 4.299 cầu thủ.</w:t>
      </w:r>
    </w:p>
    <w:tbl>
      <w:tblPr>
        <w:tblStyle w:val="TableGrid"/>
        <w:tblW w:type="auto" w:w="0"/>
        <w:tblLook w:firstColumn="1" w:firstRow="1" w:lastColumn="0" w:lastRow="0" w:noHBand="0" w:noVBand="1" w:val="04A0"/>
      </w:tblPr>
      <w:tblGrid>
        <w:gridCol w:w="9689"/>
      </w:tblGrid>
      <w:tr>
        <w:tc>
          <w:tcPr>
            <w:tcW w:type="dxa" w:w="9689"/>
            <w:shd w:val="clear" w:color="auto" w:fill="FFF6E5"/>
          </w:tcPr>
          <w:p>
            <w:pPr>
              <w:spacing w:after="40"/>
            </w:pPr>
            <w:r/>
            <w:r>
              <w:rPr>
                <w:b/>
                <w:sz w:val="22"/>
              </w:rPr>
              <w:t xml:space="preserve">Điểm đáng chú ý: </w:t>
            </w:r>
            <w:r>
              <w:rPr>
                <w:sz w:val="22"/>
              </w:rPr>
              <w:t>Bộ này có Bundesliga đầy đủ 306 trận — đúng giải đấu mà báo cáo tiến độ nhắm tới, thứ mà StatsBomb Open Data không có. Nếu bắt buộc phải giữ Bundesliga trong đề tài, đây là nguồn duy nhất khả dụng.</w:t>
            </w:r>
          </w:p>
        </w:tc>
      </w:tr>
    </w:tbl>
    <w:p>
      <w:pPr>
        <w:spacing w:after="80"/>
      </w:pPr>
    </w:p>
    <w:p>
      <w:pPr>
        <w:pStyle w:val="Heading2"/>
      </w:pPr>
      <w:r>
        <w:t>4.3. Vì sao đây là bộ “có kiểm chứng và xác thực đầy đủ” đúng nghĩa</w:t>
      </w:r>
    </w:p>
    <w:p>
      <w:pPr>
        <w:spacing w:after="120"/>
      </w:pPr>
      <w:r>
        <w:rPr>
          <w:b w:val="0"/>
          <w:i w:val="0"/>
          <w:sz w:val="24"/>
        </w:rPr>
        <w:t>Đây là điểm mạnh quyết định của bộ dữ liệu này và là lý do chính để đưa vào đề tài. Bộ dữ liệu đã qua bình duyệt khoa học tại Nature Scientific Data, với một mục Technical Validation riêng mô tả quy trình xác thực bốn tầng:</w:t>
      </w:r>
    </w:p>
    <w:tbl>
      <w:tblPr>
        <w:tblStyle w:val="TableGrid"/>
        <w:tblW w:type="auto" w:w="0"/>
        <w:jc w:val="center"/>
        <w:tblLook w:firstColumn="1" w:firstRow="1" w:lastColumn="0" w:lastRow="0" w:noHBand="0" w:noVBand="1" w:val="04A0"/>
      </w:tblPr>
      <w:tblGrid>
        <w:gridCol w:w="4844"/>
        <w:gridCol w:w="4844"/>
      </w:tblGrid>
      <w:tr>
        <w:tc>
          <w:tcPr>
            <w:tcW w:type="dxa" w:w="2835"/>
            <w:shd w:val="clear" w:color="auto" w:fill="1F3864"/>
          </w:tcPr>
          <w:p>
            <w:pPr>
              <w:spacing w:after="40" w:before="40"/>
            </w:pPr>
            <w:r/>
            <w:r>
              <w:rPr>
                <w:b/>
                <w:color w:val="FFFFFF"/>
                <w:sz w:val="21"/>
              </w:rPr>
              <w:t>Tầng</w:t>
            </w:r>
          </w:p>
        </w:tc>
        <w:tc>
          <w:tcPr>
            <w:tcW w:type="dxa" w:w="6236"/>
            <w:shd w:val="clear" w:color="auto" w:fill="1F3864"/>
          </w:tcPr>
          <w:p>
            <w:pPr>
              <w:spacing w:after="40" w:before="40"/>
            </w:pPr>
            <w:r/>
            <w:r>
              <w:rPr>
                <w:b/>
                <w:color w:val="FFFFFF"/>
                <w:sz w:val="21"/>
              </w:rPr>
              <w:t>Nội dung</w:t>
            </w:r>
          </w:p>
        </w:tc>
      </w:tr>
      <w:tr>
        <w:tc>
          <w:tcPr>
            <w:tcW w:type="dxa" w:w="2835"/>
          </w:tcPr>
          <w:p>
            <w:pPr>
              <w:spacing w:after="40" w:before="40"/>
            </w:pPr>
            <w:r/>
            <w:r>
              <w:rPr>
                <w:b w:val="0"/>
                <w:sz w:val="21"/>
              </w:rPr>
              <w:t>1. Thu thập có kiểm soát</w:t>
            </w:r>
          </w:p>
        </w:tc>
        <w:tc>
          <w:tcPr>
            <w:tcW w:type="dxa" w:w="6236"/>
          </w:tcPr>
          <w:p>
            <w:pPr>
              <w:spacing w:after="40" w:before="40"/>
            </w:pPr>
            <w:r/>
            <w:r>
              <w:rPr>
                <w:b w:val="0"/>
                <w:sz w:val="21"/>
              </w:rPr>
              <w:t>Mỗi trận được gán nhãn bởi ba chuyên viên: một người phụ trách mỗi đội, một người giám sát toàn trận</w:t>
            </w:r>
          </w:p>
        </w:tc>
      </w:tr>
      <w:tr>
        <w:tc>
          <w:tcPr>
            <w:tcW w:type="dxa" w:w="2835"/>
            <w:shd w:val="clear" w:color="auto" w:fill="EEF2F8"/>
          </w:tcPr>
          <w:p>
            <w:pPr>
              <w:spacing w:after="40" w:before="40"/>
            </w:pPr>
            <w:r/>
            <w:r>
              <w:rPr>
                <w:b w:val="0"/>
                <w:sz w:val="21"/>
              </w:rPr>
              <w:t>2. Kiểm soát chất lượng tự động</w:t>
            </w:r>
          </w:p>
        </w:tc>
        <w:tc>
          <w:tcPr>
            <w:tcW w:type="dxa" w:w="6236"/>
            <w:shd w:val="clear" w:color="auto" w:fill="EEF2F8"/>
          </w:tcPr>
          <w:p>
            <w:pPr>
              <w:spacing w:after="40" w:before="40"/>
            </w:pPr>
            <w:r/>
            <w:r>
              <w:rPr>
                <w:b w:val="0"/>
                <w:sz w:val="21"/>
              </w:rPr>
              <w:t>Thuật toán đối chiếu chéo event giữa các operator, phát hiện và loại các chuỗi sự kiện bất khả thi</w:t>
            </w:r>
          </w:p>
        </w:tc>
      </w:tr>
      <w:tr>
        <w:tc>
          <w:tcPr>
            <w:tcW w:type="dxa" w:w="2835"/>
          </w:tcPr>
          <w:p>
            <w:pPr>
              <w:spacing w:after="40" w:before="40"/>
            </w:pPr>
            <w:r/>
            <w:r>
              <w:rPr>
                <w:b w:val="0"/>
                <w:sz w:val="21"/>
              </w:rPr>
              <w:t>3. Kiểm soát chất lượng thủ công</w:t>
            </w:r>
          </w:p>
        </w:tc>
        <w:tc>
          <w:tcPr>
            <w:tcW w:type="dxa" w:w="6236"/>
          </w:tcPr>
          <w:p>
            <w:pPr>
              <w:spacing w:after="40" w:before="40"/>
            </w:pPr>
            <w:r/>
            <w:r>
              <w:rPr>
                <w:b w:val="0"/>
                <w:sz w:val="21"/>
              </w:rPr>
              <w:t>Quality controller rà lại toàn bộ các trận được chọn theo lấy mẫu thống kê, sau khi trận đấu kết thúc</w:t>
            </w:r>
          </w:p>
        </w:tc>
      </w:tr>
      <w:tr>
        <w:tc>
          <w:tcPr>
            <w:tcW w:type="dxa" w:w="2835"/>
            <w:shd w:val="clear" w:color="auto" w:fill="EEF2F8"/>
          </w:tcPr>
          <w:p>
            <w:pPr>
              <w:spacing w:after="40" w:before="40"/>
            </w:pPr>
            <w:r/>
            <w:r>
              <w:rPr>
                <w:b w:val="0"/>
                <w:sz w:val="21"/>
              </w:rPr>
              <w:t>4. Kiểm chứng phân phối</w:t>
            </w:r>
          </w:p>
        </w:tc>
        <w:tc>
          <w:tcPr>
            <w:tcW w:type="dxa" w:w="6236"/>
            <w:shd w:val="clear" w:color="auto" w:fill="EEF2F8"/>
          </w:tcPr>
          <w:p>
            <w:pPr>
              <w:spacing w:after="40" w:before="40"/>
            </w:pPr>
            <w:r/>
            <w:r>
              <w:rPr>
                <w:b w:val="0"/>
                <w:sz w:val="21"/>
              </w:rPr>
              <w:t>Xác nhận tính toàn vẹn qua phân tích thống kê: trung bình 1.682 ± 101 event/trận, khoảng 50% là đường chuyền, phân phối thời điểm ghi bàn khớp kỳ vọng</w:t>
            </w:r>
          </w:p>
        </w:tc>
      </w:tr>
    </w:tbl>
    <w:p>
      <w:pPr>
        <w:spacing w:after="80"/>
      </w:pPr>
    </w:p>
    <w:p>
      <w:pPr>
        <w:spacing w:after="120"/>
      </w:pPr>
      <w:r>
        <w:rPr>
          <w:b w:val="0"/>
          <w:i w:val="0"/>
          <w:sz w:val="24"/>
        </w:rPr>
        <w:t>Trong các bộ dữ liệu bóng đá mở hiện có, không bộ nào khác công bố quy trình xác thực ở mức chi tiết và đã qua bình duyệt như vậy. Đây là căn cứ trực tiếp để trả lời câu hỏi của hội đồng về độ tin cậy của dữ liệu đầu vào.</w:t>
      </w:r>
    </w:p>
    <w:p>
      <w:pPr>
        <w:pStyle w:val="Heading2"/>
      </w:pPr>
      <w:r>
        <w:t>4.4. Cấu trúc pass event</w:t>
      </w:r>
    </w:p>
    <w:tbl>
      <w:tblPr>
        <w:tblStyle w:val="TableGrid"/>
        <w:tblW w:type="auto" w:w="0"/>
        <w:jc w:val="center"/>
        <w:tblLook w:firstColumn="1" w:firstRow="1" w:lastColumn="0" w:lastRow="0" w:noHBand="0" w:noVBand="1" w:val="04A0"/>
      </w:tblPr>
      <w:tblGrid>
        <w:gridCol w:w="4844"/>
        <w:gridCol w:w="4844"/>
      </w:tblGrid>
      <w:tr>
        <w:tc>
          <w:tcPr>
            <w:tcW w:type="dxa" w:w="2835"/>
            <w:shd w:val="clear" w:color="auto" w:fill="1F3864"/>
          </w:tcPr>
          <w:p>
            <w:pPr>
              <w:spacing w:after="40" w:before="40"/>
            </w:pPr>
            <w:r/>
            <w:r>
              <w:rPr>
                <w:b/>
                <w:color w:val="FFFFFF"/>
                <w:sz w:val="21"/>
              </w:rPr>
              <w:t>Trường</w:t>
            </w:r>
          </w:p>
        </w:tc>
        <w:tc>
          <w:tcPr>
            <w:tcW w:type="dxa" w:w="6236"/>
            <w:shd w:val="clear" w:color="auto" w:fill="1F3864"/>
          </w:tcPr>
          <w:p>
            <w:pPr>
              <w:spacing w:after="40" w:before="40"/>
            </w:pPr>
            <w:r/>
            <w:r>
              <w:rPr>
                <w:b/>
                <w:color w:val="FFFFFF"/>
                <w:sz w:val="21"/>
              </w:rPr>
              <w:t>Ghi chú</w:t>
            </w:r>
          </w:p>
        </w:tc>
      </w:tr>
      <w:tr>
        <w:tc>
          <w:tcPr>
            <w:tcW w:type="dxa" w:w="2835"/>
          </w:tcPr>
          <w:p>
            <w:pPr>
              <w:spacing w:after="40" w:before="40"/>
            </w:pPr>
            <w:r/>
            <w:r>
              <w:rPr>
                <w:rFonts w:ascii="Consolas" w:hAnsi="Consolas" w:eastAsia="Consolas"/>
                <w:b w:val="0"/>
                <w:sz w:val="21"/>
              </w:rPr>
              <w:t>positions</w:t>
            </w:r>
          </w:p>
        </w:tc>
        <w:tc>
          <w:tcPr>
            <w:tcW w:type="dxa" w:w="6236"/>
          </w:tcPr>
          <w:p>
            <w:pPr>
              <w:spacing w:after="40" w:before="40"/>
            </w:pPr>
            <w:r/>
            <w:r>
              <w:rPr>
                <w:b w:val="0"/>
                <w:sz w:val="21"/>
              </w:rPr>
              <w:t>Tọa độ điểm đi và điểm đến, thang 0–100 (phần trăm chiều sân), không phải đơn vị tuyệt đối</w:t>
            </w:r>
          </w:p>
        </w:tc>
      </w:tr>
      <w:tr>
        <w:tc>
          <w:tcPr>
            <w:tcW w:type="dxa" w:w="2835"/>
            <w:shd w:val="clear" w:color="auto" w:fill="EEF2F8"/>
          </w:tcPr>
          <w:p>
            <w:pPr>
              <w:spacing w:after="40" w:before="40"/>
            </w:pPr>
            <w:r/>
            <w:r>
              <w:rPr>
                <w:rFonts w:ascii="Consolas" w:hAnsi="Consolas" w:eastAsia="Consolas"/>
                <w:b w:val="0"/>
                <w:sz w:val="21"/>
              </w:rPr>
              <w:t>playerId</w:t>
            </w:r>
          </w:p>
        </w:tc>
        <w:tc>
          <w:tcPr>
            <w:tcW w:type="dxa" w:w="6236"/>
            <w:shd w:val="clear" w:color="auto" w:fill="EEF2F8"/>
          </w:tcPr>
          <w:p>
            <w:pPr>
              <w:spacing w:after="40" w:before="40"/>
            </w:pPr>
            <w:r/>
            <w:r>
              <w:rPr>
                <w:b w:val="0"/>
                <w:sz w:val="21"/>
              </w:rPr>
              <w:t>Định danh cầu thủ thực hiện</w:t>
            </w:r>
          </w:p>
        </w:tc>
      </w:tr>
      <w:tr>
        <w:tc>
          <w:tcPr>
            <w:tcW w:type="dxa" w:w="2835"/>
          </w:tcPr>
          <w:p>
            <w:pPr>
              <w:spacing w:after="40" w:before="40"/>
            </w:pPr>
            <w:r/>
            <w:r>
              <w:rPr>
                <w:rFonts w:ascii="Consolas" w:hAnsi="Consolas" w:eastAsia="Consolas"/>
                <w:b w:val="0"/>
                <w:sz w:val="21"/>
              </w:rPr>
              <w:t>teamId</w:t>
            </w:r>
          </w:p>
        </w:tc>
        <w:tc>
          <w:tcPr>
            <w:tcW w:type="dxa" w:w="6236"/>
          </w:tcPr>
          <w:p>
            <w:pPr>
              <w:spacing w:after="40" w:before="40"/>
            </w:pPr>
            <w:r/>
            <w:r>
              <w:rPr>
                <w:b w:val="0"/>
                <w:sz w:val="21"/>
              </w:rPr>
              <w:t>Đội</w:t>
            </w:r>
          </w:p>
        </w:tc>
      </w:tr>
      <w:tr>
        <w:tc>
          <w:tcPr>
            <w:tcW w:type="dxa" w:w="2835"/>
            <w:shd w:val="clear" w:color="auto" w:fill="EEF2F8"/>
          </w:tcPr>
          <w:p>
            <w:pPr>
              <w:spacing w:after="40" w:before="40"/>
            </w:pPr>
            <w:r/>
            <w:r>
              <w:rPr>
                <w:rFonts w:ascii="Consolas" w:hAnsi="Consolas" w:eastAsia="Consolas"/>
                <w:b w:val="0"/>
                <w:sz w:val="21"/>
              </w:rPr>
              <w:t>eventSec</w:t>
            </w:r>
          </w:p>
        </w:tc>
        <w:tc>
          <w:tcPr>
            <w:tcW w:type="dxa" w:w="6236"/>
            <w:shd w:val="clear" w:color="auto" w:fill="EEF2F8"/>
          </w:tcPr>
          <w:p>
            <w:pPr>
              <w:spacing w:after="40" w:before="40"/>
            </w:pPr>
            <w:r/>
            <w:r>
              <w:rPr>
                <w:b w:val="0"/>
                <w:sz w:val="21"/>
              </w:rPr>
              <w:t>Thời điểm trong hiệp, tính bằng giây</w:t>
            </w:r>
          </w:p>
        </w:tc>
      </w:tr>
      <w:tr>
        <w:tc>
          <w:tcPr>
            <w:tcW w:type="dxa" w:w="2835"/>
          </w:tcPr>
          <w:p>
            <w:pPr>
              <w:spacing w:after="40" w:before="40"/>
            </w:pPr>
            <w:r/>
            <w:r>
              <w:rPr>
                <w:rFonts w:ascii="Consolas" w:hAnsi="Consolas" w:eastAsia="Consolas"/>
                <w:b w:val="0"/>
                <w:sz w:val="21"/>
              </w:rPr>
              <w:t>matchPeriod</w:t>
            </w:r>
          </w:p>
        </w:tc>
        <w:tc>
          <w:tcPr>
            <w:tcW w:type="dxa" w:w="6236"/>
          </w:tcPr>
          <w:p>
            <w:pPr>
              <w:spacing w:after="40" w:before="40"/>
            </w:pPr>
            <w:r/>
            <w:r>
              <w:rPr>
                <w:b w:val="0"/>
                <w:sz w:val="21"/>
              </w:rPr>
              <w:t>Hiệp</w:t>
            </w:r>
          </w:p>
        </w:tc>
      </w:tr>
      <w:tr>
        <w:tc>
          <w:tcPr>
            <w:tcW w:type="dxa" w:w="2835"/>
            <w:shd w:val="clear" w:color="auto" w:fill="EEF2F8"/>
          </w:tcPr>
          <w:p>
            <w:pPr>
              <w:spacing w:after="40" w:before="40"/>
            </w:pPr>
            <w:r/>
            <w:r>
              <w:rPr>
                <w:rFonts w:ascii="Consolas" w:hAnsi="Consolas" w:eastAsia="Consolas"/>
                <w:b w:val="0"/>
                <w:sz w:val="21"/>
              </w:rPr>
              <w:t>tag accurate / not accurate</w:t>
            </w:r>
          </w:p>
        </w:tc>
        <w:tc>
          <w:tcPr>
            <w:tcW w:type="dxa" w:w="6236"/>
            <w:shd w:val="clear" w:color="auto" w:fill="EEF2F8"/>
          </w:tcPr>
          <w:p>
            <w:pPr>
              <w:spacing w:after="40" w:before="40"/>
            </w:pPr>
            <w:r/>
            <w:r>
              <w:rPr>
                <w:b w:val="0"/>
                <w:sz w:val="21"/>
              </w:rPr>
              <w:t>Đường chuyền thành công hay hỏng</w:t>
            </w:r>
          </w:p>
        </w:tc>
      </w:tr>
      <w:tr>
        <w:tc>
          <w:tcPr>
            <w:tcW w:type="dxa" w:w="2835"/>
          </w:tcPr>
          <w:p>
            <w:pPr>
              <w:spacing w:after="40" w:before="40"/>
            </w:pPr>
            <w:r/>
            <w:r>
              <w:rPr>
                <w:rFonts w:ascii="Consolas" w:hAnsi="Consolas" w:eastAsia="Consolas"/>
                <w:b w:val="0"/>
                <w:sz w:val="21"/>
              </w:rPr>
              <w:t>tag key pass, assist,</w:t>
            </w:r>
          </w:p>
          <w:p>
            <w:pPr>
              <w:spacing w:after="40"/>
            </w:pPr>
            <w:r>
              <w:rPr>
                <w:rFonts w:ascii="Consolas" w:hAnsi="Consolas" w:eastAsia="Consolas"/>
                <w:b w:val="0"/>
                <w:sz w:val="21"/>
              </w:rPr>
              <w:t>opportunity, goal</w:t>
            </w:r>
          </w:p>
        </w:tc>
        <w:tc>
          <w:tcPr>
            <w:tcW w:type="dxa" w:w="6236"/>
          </w:tcPr>
          <w:p>
            <w:pPr>
              <w:spacing w:after="40" w:before="40"/>
            </w:pPr>
            <w:r/>
            <w:r>
              <w:rPr>
                <w:b w:val="0"/>
                <w:sz w:val="21"/>
              </w:rPr>
              <w:t>Nhãn ngữ nghĩa bổ sung</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F6E5"/>
          </w:tcPr>
          <w:p>
            <w:pPr>
              <w:spacing w:after="40"/>
            </w:pPr>
            <w:r/>
            <w:r>
              <w:rPr>
                <w:b/>
                <w:sz w:val="22"/>
              </w:rPr>
              <w:t xml:space="preserve">Giá trị bổ sung quan trọng: </w:t>
            </w:r>
            <w:r>
              <w:rPr>
                <w:sz w:val="22"/>
              </w:rPr>
              <w:t>Tag key pass và assist có sẵn ngay trong bộ dữ liệu. Đây chính là hai trong bốn chỉ số đối chiếu mà quy trình mục 9.4 yêu cầu để kiểm tra face validity của Hybrid Centrality. Dùng được trực tiếp, không phải đi tìm nguồn dữ liệu thứ ba.</w:t>
            </w:r>
          </w:p>
        </w:tc>
      </w:tr>
    </w:tbl>
    <w:p>
      <w:pPr>
        <w:spacing w:after="80"/>
      </w:pPr>
    </w:p>
    <w:p>
      <w:pPr>
        <w:pStyle w:val="Heading2"/>
      </w:pPr>
      <w:r>
        <w:t>4.5. Cách truy cập</w:t>
      </w:r>
    </w:p>
    <w:tbl>
      <w:tblPr>
        <w:tblStyle w:val="TableGrid"/>
        <w:tblW w:type="auto" w:w="0"/>
        <w:jc w:val="center"/>
        <w:tblLook w:firstColumn="1" w:firstRow="1" w:lastColumn="0" w:lastRow="0" w:noHBand="0" w:noVBand="1" w:val="04A0"/>
      </w:tblPr>
      <w:tblGrid>
        <w:gridCol w:w="3230"/>
        <w:gridCol w:w="3230"/>
        <w:gridCol w:w="3230"/>
      </w:tblGrid>
      <w:tr>
        <w:tc>
          <w:tcPr>
            <w:tcW w:type="dxa" w:w="1701"/>
            <w:shd w:val="clear" w:color="auto" w:fill="1F3864"/>
          </w:tcPr>
          <w:p>
            <w:pPr>
              <w:spacing w:after="40" w:before="40"/>
            </w:pPr>
            <w:r/>
            <w:r>
              <w:rPr>
                <w:b/>
                <w:color w:val="FFFFFF"/>
                <w:sz w:val="21"/>
              </w:rPr>
              <w:t>Phương án</w:t>
            </w:r>
          </w:p>
        </w:tc>
        <w:tc>
          <w:tcPr>
            <w:tcW w:type="dxa" w:w="3969"/>
            <w:shd w:val="clear" w:color="auto" w:fill="1F3864"/>
          </w:tcPr>
          <w:p>
            <w:pPr>
              <w:spacing w:after="40" w:before="40"/>
            </w:pPr>
            <w:r/>
            <w:r>
              <w:rPr>
                <w:b/>
                <w:color w:val="FFFFFF"/>
                <w:sz w:val="21"/>
              </w:rPr>
              <w:t>Đường dẫn</w:t>
            </w:r>
          </w:p>
        </w:tc>
        <w:tc>
          <w:tcPr>
            <w:tcW w:type="dxa" w:w="3402"/>
            <w:shd w:val="clear" w:color="auto" w:fill="1F3864"/>
          </w:tcPr>
          <w:p>
            <w:pPr>
              <w:spacing w:after="40" w:before="40"/>
            </w:pPr>
            <w:r/>
            <w:r>
              <w:rPr>
                <w:b/>
                <w:color w:val="FFFFFF"/>
                <w:sz w:val="21"/>
              </w:rPr>
              <w:t>Ghi chú</w:t>
            </w:r>
          </w:p>
        </w:tc>
      </w:tr>
      <w:tr>
        <w:tc>
          <w:tcPr>
            <w:tcW w:type="dxa" w:w="1701"/>
          </w:tcPr>
          <w:p>
            <w:pPr>
              <w:spacing w:after="40" w:before="40"/>
            </w:pPr>
            <w:r/>
            <w:r>
              <w:rPr>
                <w:b w:val="0"/>
                <w:sz w:val="21"/>
              </w:rPr>
              <w:t>Gốc</w:t>
            </w:r>
          </w:p>
        </w:tc>
        <w:tc>
          <w:tcPr>
            <w:tcW w:type="dxa" w:w="3969"/>
          </w:tcPr>
          <w:p>
            <w:pPr>
              <w:spacing w:after="40" w:before="40"/>
            </w:pPr>
            <w:r/>
            <w:r>
              <w:rPr>
                <w:b w:val="0"/>
                <w:sz w:val="21"/>
              </w:rPr>
              <w:t>figshare collection 4415000</w:t>
            </w:r>
          </w:p>
        </w:tc>
        <w:tc>
          <w:tcPr>
            <w:tcW w:type="dxa" w:w="3402"/>
          </w:tcPr>
          <w:p>
            <w:pPr>
              <w:spacing w:after="40" w:before="40"/>
            </w:pPr>
            <w:r/>
            <w:r>
              <w:rPr>
                <w:b w:val="0"/>
                <w:sz w:val="21"/>
              </w:rPr>
              <w:t>JSON nguyên bản của bài báo</w:t>
            </w:r>
          </w:p>
        </w:tc>
      </w:tr>
      <w:tr>
        <w:tc>
          <w:tcPr>
            <w:tcW w:type="dxa" w:w="1701"/>
            <w:shd w:val="clear" w:color="auto" w:fill="EEF2F8"/>
          </w:tcPr>
          <w:p>
            <w:pPr>
              <w:spacing w:after="40" w:before="40"/>
            </w:pPr>
            <w:r/>
            <w:r>
              <w:rPr>
                <w:b w:val="0"/>
                <w:sz w:val="21"/>
              </w:rPr>
              <w:t>Khuyến nghị</w:t>
            </w:r>
          </w:p>
        </w:tc>
        <w:tc>
          <w:tcPr>
            <w:tcW w:type="dxa" w:w="3969"/>
            <w:shd w:val="clear" w:color="auto" w:fill="EEF2F8"/>
          </w:tcPr>
          <w:p>
            <w:pPr>
              <w:spacing w:after="40" w:before="40"/>
            </w:pPr>
            <w:r/>
            <w:r>
              <w:rPr>
                <w:b w:val="0"/>
                <w:sz w:val="21"/>
              </w:rPr>
              <w:t>github.com/koenvo/wyscout-soccer-match-event-dataset</w:t>
            </w:r>
          </w:p>
        </w:tc>
        <w:tc>
          <w:tcPr>
            <w:tcW w:type="dxa" w:w="3402"/>
            <w:shd w:val="clear" w:color="auto" w:fill="EEF2F8"/>
          </w:tcPr>
          <w:p>
            <w:pPr>
              <w:spacing w:after="40" w:before="40"/>
            </w:pPr>
            <w:r/>
            <w:r>
              <w:rPr>
                <w:b w:val="0"/>
                <w:sz w:val="21"/>
              </w:rPr>
              <w:t>Cùng dữ liệu, đóng gói lại theo định dạng Wyscout chuẩn, nạp trực tiếp bằng kloppy</w:t>
            </w:r>
          </w:p>
        </w:tc>
      </w:tr>
    </w:tbl>
    <w:p>
      <w:pPr>
        <w:spacing w:after="80"/>
      </w:pPr>
    </w:p>
    <w:p>
      <w:pPr>
        <w:pStyle w:val="Heading2"/>
      </w:pPr>
      <w:r>
        <w:t>4.6. Đánh giá</w:t>
      </w:r>
    </w:p>
    <w:tbl>
      <w:tblPr>
        <w:tblStyle w:val="TableGrid"/>
        <w:tblW w:type="auto" w:w="0"/>
        <w:jc w:val="center"/>
        <w:tblLook w:firstColumn="1" w:firstRow="1" w:lastColumn="0" w:lastRow="0" w:noHBand="0" w:noVBand="1" w:val="04A0"/>
      </w:tblPr>
      <w:tblGrid>
        <w:gridCol w:w="4844"/>
        <w:gridCol w:w="4844"/>
      </w:tblGrid>
      <w:tr>
        <w:tc>
          <w:tcPr>
            <w:tcW w:type="dxa" w:w="4535"/>
            <w:shd w:val="clear" w:color="auto" w:fill="1F3864"/>
          </w:tcPr>
          <w:p>
            <w:pPr>
              <w:spacing w:after="40" w:before="40"/>
            </w:pPr>
            <w:r/>
            <w:r>
              <w:rPr>
                <w:b/>
                <w:color w:val="FFFFFF"/>
                <w:sz w:val="21"/>
              </w:rPr>
              <w:t>Ưu điểm</w:t>
            </w:r>
          </w:p>
        </w:tc>
        <w:tc>
          <w:tcPr>
            <w:tcW w:type="dxa" w:w="4535"/>
            <w:shd w:val="clear" w:color="auto" w:fill="1F3864"/>
          </w:tcPr>
          <w:p>
            <w:pPr>
              <w:spacing w:after="40" w:before="40"/>
            </w:pPr>
            <w:r/>
            <w:r>
              <w:rPr>
                <w:b/>
                <w:color w:val="FFFFFF"/>
                <w:sz w:val="21"/>
              </w:rPr>
              <w:t>Hạn chế</w:t>
            </w:r>
          </w:p>
        </w:tc>
      </w:tr>
      <w:tr>
        <w:tc>
          <w:tcPr>
            <w:tcW w:type="dxa" w:w="4535"/>
          </w:tcPr>
          <w:p>
            <w:pPr>
              <w:spacing w:after="40" w:before="40"/>
            </w:pPr>
            <w:r/>
            <w:r>
              <w:rPr>
                <w:b w:val="0"/>
                <w:sz w:val="21"/>
              </w:rPr>
              <w:t>Quy trình xác thực đã bình duyệt, trích dẫn được</w:t>
            </w:r>
          </w:p>
        </w:tc>
        <w:tc>
          <w:tcPr>
            <w:tcW w:type="dxa" w:w="4535"/>
          </w:tcPr>
          <w:p>
            <w:pPr>
              <w:spacing w:after="40" w:before="40"/>
            </w:pPr>
            <w:r/>
            <w:r>
              <w:rPr>
                <w:b w:val="0"/>
                <w:sz w:val="21"/>
              </w:rPr>
              <w:t>Không có trường possession — phải tự tái tạo (rủi ro R1)</w:t>
            </w:r>
          </w:p>
        </w:tc>
      </w:tr>
      <w:tr>
        <w:tc>
          <w:tcPr>
            <w:tcW w:type="dxa" w:w="4535"/>
            <w:shd w:val="clear" w:color="auto" w:fill="EEF2F8"/>
          </w:tcPr>
          <w:p>
            <w:pPr>
              <w:spacing w:after="40" w:before="40"/>
            </w:pPr>
            <w:r/>
            <w:r>
              <w:rPr>
                <w:b w:val="0"/>
                <w:sz w:val="21"/>
              </w:rPr>
              <w:t>CC BY 4.0 — giấy phép thoáng nhất</w:t>
            </w:r>
          </w:p>
        </w:tc>
        <w:tc>
          <w:tcPr>
            <w:tcW w:type="dxa" w:w="4535"/>
            <w:shd w:val="clear" w:color="auto" w:fill="EEF2F8"/>
          </w:tcPr>
          <w:p>
            <w:pPr>
              <w:spacing w:after="40" w:before="40"/>
            </w:pPr>
            <w:r/>
            <w:r>
              <w:rPr>
                <w:b w:val="0"/>
                <w:sz w:val="21"/>
              </w:rPr>
              <w:t>Tọa độ theo phần trăm, kém chính xác hơn tọa độ tuyệt đối</w:t>
            </w:r>
          </w:p>
        </w:tc>
      </w:tr>
      <w:tr>
        <w:tc>
          <w:tcPr>
            <w:tcW w:type="dxa" w:w="4535"/>
          </w:tcPr>
          <w:p>
            <w:pPr>
              <w:spacing w:after="40" w:before="40"/>
            </w:pPr>
            <w:r/>
            <w:r>
              <w:rPr>
                <w:b w:val="0"/>
                <w:sz w:val="21"/>
              </w:rPr>
              <w:t>1.941 trận, lớn hơn dataset ①</w:t>
            </w:r>
          </w:p>
        </w:tc>
        <w:tc>
          <w:tcPr>
            <w:tcW w:type="dxa" w:w="4535"/>
          </w:tcPr>
          <w:p>
            <w:pPr>
              <w:spacing w:after="40" w:before="40"/>
            </w:pPr>
            <w:r/>
            <w:r>
              <w:rPr>
                <w:b w:val="0"/>
                <w:sz w:val="21"/>
              </w:rPr>
              <w:t>Đặc trưng đường chuyền ít chi tiết hơn StatsBomb</w:t>
            </w:r>
          </w:p>
        </w:tc>
      </w:tr>
      <w:tr>
        <w:tc>
          <w:tcPr>
            <w:tcW w:type="dxa" w:w="4535"/>
            <w:shd w:val="clear" w:color="auto" w:fill="EEF2F8"/>
          </w:tcPr>
          <w:p>
            <w:pPr>
              <w:spacing w:after="40" w:before="40"/>
            </w:pPr>
            <w:r/>
            <w:r>
              <w:rPr>
                <w:b w:val="0"/>
                <w:sz w:val="21"/>
              </w:rPr>
              <w:t>Có Bundesliga đầy đủ 306 trận</w:t>
            </w:r>
          </w:p>
        </w:tc>
        <w:tc>
          <w:tcPr>
            <w:tcW w:type="dxa" w:w="4535"/>
            <w:shd w:val="clear" w:color="auto" w:fill="EEF2F8"/>
          </w:tcPr>
          <w:p>
            <w:pPr>
              <w:spacing w:after="40" w:before="40"/>
            </w:pPr>
            <w:r/>
            <w:r>
              <w:rPr>
                <w:b w:val="0"/>
                <w:sz w:val="21"/>
              </w:rPr>
              <w:t>Chỉ một mùa giải (2017/18) cho các giải quốc nội</w:t>
            </w:r>
          </w:p>
        </w:tc>
      </w:tr>
      <w:tr>
        <w:tc>
          <w:tcPr>
            <w:tcW w:type="dxa" w:w="4535"/>
          </w:tcPr>
          <w:p>
            <w:pPr>
              <w:spacing w:after="40" w:before="40"/>
            </w:pPr>
            <w:r/>
            <w:r>
              <w:rPr>
                <w:b w:val="0"/>
                <w:sz w:val="21"/>
              </w:rPr>
              <w:t>Có sẵn tag key pass / assist cho Bước 9.4</w:t>
            </w:r>
          </w:p>
        </w:tc>
        <w:tc>
          <w:tcPr>
            <w:tcW w:type="dxa" w:w="4535"/>
          </w:tcPr>
          <w:p>
            <w:pPr>
              <w:spacing w:after="40" w:before="40"/>
            </w:pPr>
            <w:r/>
            <w:r>
              <w:rPr>
                <w:b w:val="0"/>
                <w:sz w:val="21"/>
              </w:rPr>
            </w:r>
          </w:p>
        </w:tc>
      </w:tr>
      <w:tr>
        <w:tc>
          <w:tcPr>
            <w:tcW w:type="dxa" w:w="4535"/>
            <w:shd w:val="clear" w:color="auto" w:fill="EEF2F8"/>
          </w:tcPr>
          <w:p>
            <w:pPr>
              <w:spacing w:after="40" w:before="40"/>
            </w:pPr>
            <w:r/>
            <w:r>
              <w:rPr>
                <w:b w:val="0"/>
                <w:sz w:val="21"/>
              </w:rPr>
              <w:t>Có DOI, trích dẫn chuẩn học thuật</w:t>
            </w:r>
          </w:p>
        </w:tc>
        <w:tc>
          <w:tcPr>
            <w:tcW w:type="dxa" w:w="4535"/>
            <w:shd w:val="clear" w:color="auto" w:fill="EEF2F8"/>
          </w:tcPr>
          <w:p>
            <w:pPr>
              <w:spacing w:after="40" w:before="40"/>
            </w:pPr>
            <w:r/>
            <w:r>
              <w:rPr>
                <w:b w:val="0"/>
                <w:sz w:val="21"/>
              </w:rPr>
            </w:r>
          </w:p>
        </w:tc>
      </w:tr>
    </w:tbl>
    <w:p>
      <w:pPr>
        <w:spacing w:after="80"/>
      </w:pPr>
    </w:p>
    <w:p>
      <w:r>
        <w:br w:type="page"/>
      </w:r>
    </w:p>
    <w:p>
      <w:pPr>
        <w:pStyle w:val="Heading1"/>
      </w:pPr>
      <w:r>
        <w:t>5. Vì sao chọn đúng cặp dữ liệu này</w:t>
      </w:r>
    </w:p>
    <w:p>
      <w:pPr>
        <w:pStyle w:val="Heading2"/>
      </w:pPr>
      <w:r>
        <w:t>5.1. Bốn trục khác biệt độc lập</w:t>
      </w:r>
    </w:p>
    <w:tbl>
      <w:tblPr>
        <w:tblStyle w:val="TableGrid"/>
        <w:tblW w:type="auto" w:w="0"/>
        <w:jc w:val="center"/>
        <w:tblLook w:firstColumn="1" w:firstRow="1" w:lastColumn="0" w:lastRow="0" w:noHBand="0" w:noVBand="1" w:val="04A0"/>
      </w:tblPr>
      <w:tblGrid>
        <w:gridCol w:w="3230"/>
        <w:gridCol w:w="3230"/>
        <w:gridCol w:w="3230"/>
      </w:tblGrid>
      <w:tr>
        <w:tc>
          <w:tcPr>
            <w:tcW w:type="dxa" w:w="2835"/>
            <w:shd w:val="clear" w:color="auto" w:fill="1F3864"/>
          </w:tcPr>
          <w:p>
            <w:pPr>
              <w:spacing w:after="40" w:before="40"/>
            </w:pPr>
            <w:r/>
            <w:r>
              <w:rPr>
                <w:b/>
                <w:color w:val="FFFFFF"/>
                <w:sz w:val="21"/>
              </w:rPr>
              <w:t>Trục khác biệt</w:t>
            </w:r>
          </w:p>
        </w:tc>
        <w:tc>
          <w:tcPr>
            <w:tcW w:type="dxa" w:w="3118"/>
            <w:shd w:val="clear" w:color="auto" w:fill="1F3864"/>
          </w:tcPr>
          <w:p>
            <w:pPr>
              <w:spacing w:after="40" w:before="40"/>
            </w:pPr>
            <w:r/>
            <w:r>
              <w:rPr>
                <w:b/>
                <w:color w:val="FFFFFF"/>
                <w:sz w:val="21"/>
              </w:rPr>
              <w:t>Dataset ①</w:t>
            </w:r>
          </w:p>
        </w:tc>
        <w:tc>
          <w:tcPr>
            <w:tcW w:type="dxa" w:w="3118"/>
            <w:shd w:val="clear" w:color="auto" w:fill="1F3864"/>
          </w:tcPr>
          <w:p>
            <w:pPr>
              <w:spacing w:after="40" w:before="40"/>
            </w:pPr>
            <w:r/>
            <w:r>
              <w:rPr>
                <w:b/>
                <w:color w:val="FFFFFF"/>
                <w:sz w:val="21"/>
              </w:rPr>
              <w:t>Dataset ②</w:t>
            </w:r>
          </w:p>
        </w:tc>
      </w:tr>
      <w:tr>
        <w:tc>
          <w:tcPr>
            <w:tcW w:type="dxa" w:w="2835"/>
          </w:tcPr>
          <w:p>
            <w:pPr>
              <w:spacing w:after="40" w:before="40"/>
            </w:pPr>
            <w:r/>
            <w:r>
              <w:rPr>
                <w:b w:val="0"/>
                <w:sz w:val="21"/>
              </w:rPr>
              <w:t>Nhà cung cấp</w:t>
            </w:r>
          </w:p>
        </w:tc>
        <w:tc>
          <w:tcPr>
            <w:tcW w:type="dxa" w:w="3118"/>
          </w:tcPr>
          <w:p>
            <w:pPr>
              <w:spacing w:after="40" w:before="40"/>
            </w:pPr>
            <w:r/>
            <w:r>
              <w:rPr>
                <w:b w:val="0"/>
                <w:sz w:val="21"/>
              </w:rPr>
              <w:t>StatsBomb</w:t>
            </w:r>
          </w:p>
        </w:tc>
        <w:tc>
          <w:tcPr>
            <w:tcW w:type="dxa" w:w="3118"/>
          </w:tcPr>
          <w:p>
            <w:pPr>
              <w:spacing w:after="40" w:before="40"/>
            </w:pPr>
            <w:r/>
            <w:r>
              <w:rPr>
                <w:b w:val="0"/>
                <w:sz w:val="21"/>
              </w:rPr>
              <w:t>Wyscout</w:t>
            </w:r>
          </w:p>
        </w:tc>
      </w:tr>
      <w:tr>
        <w:tc>
          <w:tcPr>
            <w:tcW w:type="dxa" w:w="2835"/>
            <w:shd w:val="clear" w:color="auto" w:fill="EEF2F8"/>
          </w:tcPr>
          <w:p>
            <w:pPr>
              <w:spacing w:after="40" w:before="40"/>
            </w:pPr>
            <w:r/>
            <w:r>
              <w:rPr>
                <w:b w:val="0"/>
                <w:sz w:val="21"/>
              </w:rPr>
              <w:t>Mùa giải</w:t>
            </w:r>
          </w:p>
        </w:tc>
        <w:tc>
          <w:tcPr>
            <w:tcW w:type="dxa" w:w="3118"/>
            <w:shd w:val="clear" w:color="auto" w:fill="EEF2F8"/>
          </w:tcPr>
          <w:p>
            <w:pPr>
              <w:spacing w:after="40" w:before="40"/>
            </w:pPr>
            <w:r/>
            <w:r>
              <w:rPr>
                <w:b w:val="0"/>
                <w:sz w:val="21"/>
              </w:rPr>
              <w:t>2015/16</w:t>
            </w:r>
          </w:p>
        </w:tc>
        <w:tc>
          <w:tcPr>
            <w:tcW w:type="dxa" w:w="3118"/>
            <w:shd w:val="clear" w:color="auto" w:fill="EEF2F8"/>
          </w:tcPr>
          <w:p>
            <w:pPr>
              <w:spacing w:after="40" w:before="40"/>
            </w:pPr>
            <w:r/>
            <w:r>
              <w:rPr>
                <w:b w:val="0"/>
                <w:sz w:val="21"/>
              </w:rPr>
              <w:t>2017/18</w:t>
            </w:r>
          </w:p>
        </w:tc>
      </w:tr>
      <w:tr>
        <w:tc>
          <w:tcPr>
            <w:tcW w:type="dxa" w:w="2835"/>
          </w:tcPr>
          <w:p>
            <w:pPr>
              <w:spacing w:after="40" w:before="40"/>
            </w:pPr>
            <w:r/>
            <w:r>
              <w:rPr>
                <w:b w:val="0"/>
                <w:sz w:val="21"/>
              </w:rPr>
              <w:t>Quy trình gán nhãn</w:t>
            </w:r>
          </w:p>
        </w:tc>
        <w:tc>
          <w:tcPr>
            <w:tcW w:type="dxa" w:w="3118"/>
          </w:tcPr>
          <w:p>
            <w:pPr>
              <w:spacing w:after="40" w:before="40"/>
            </w:pPr>
            <w:r/>
            <w:r>
              <w:rPr>
                <w:b w:val="0"/>
                <w:sz w:val="21"/>
              </w:rPr>
              <w:t>Nội bộ StatsBomb</w:t>
            </w:r>
          </w:p>
        </w:tc>
        <w:tc>
          <w:tcPr>
            <w:tcW w:type="dxa" w:w="3118"/>
          </w:tcPr>
          <w:p>
            <w:pPr>
              <w:spacing w:after="40" w:before="40"/>
            </w:pPr>
            <w:r/>
            <w:r>
              <w:rPr>
                <w:b w:val="0"/>
                <w:sz w:val="21"/>
              </w:rPr>
              <w:t>Ba operator + QC, đã bình duyệt</w:t>
            </w:r>
          </w:p>
        </w:tc>
      </w:tr>
      <w:tr>
        <w:tc>
          <w:tcPr>
            <w:tcW w:type="dxa" w:w="2835"/>
            <w:shd w:val="clear" w:color="auto" w:fill="EEF2F8"/>
          </w:tcPr>
          <w:p>
            <w:pPr>
              <w:spacing w:after="40" w:before="40"/>
            </w:pPr>
            <w:r/>
            <w:r>
              <w:rPr>
                <w:b w:val="0"/>
                <w:sz w:val="21"/>
              </w:rPr>
              <w:t>Hệ tọa độ</w:t>
            </w:r>
          </w:p>
        </w:tc>
        <w:tc>
          <w:tcPr>
            <w:tcW w:type="dxa" w:w="3118"/>
            <w:shd w:val="clear" w:color="auto" w:fill="EEF2F8"/>
          </w:tcPr>
          <w:p>
            <w:pPr>
              <w:spacing w:after="40" w:before="40"/>
            </w:pPr>
            <w:r/>
            <w:r>
              <w:rPr>
                <w:b w:val="0"/>
                <w:sz w:val="21"/>
              </w:rPr>
              <w:t>120 × 80 (tuyệt đối)</w:t>
            </w:r>
          </w:p>
        </w:tc>
        <w:tc>
          <w:tcPr>
            <w:tcW w:type="dxa" w:w="3118"/>
            <w:shd w:val="clear" w:color="auto" w:fill="EEF2F8"/>
          </w:tcPr>
          <w:p>
            <w:pPr>
              <w:spacing w:after="40" w:before="40"/>
            </w:pPr>
            <w:r/>
            <w:r>
              <w:rPr>
                <w:b w:val="0"/>
                <w:sz w:val="21"/>
              </w:rPr>
              <w:t>0–100 (phần trăm)</w:t>
            </w:r>
          </w:p>
        </w:tc>
      </w:tr>
    </w:tbl>
    <w:p>
      <w:pPr>
        <w:spacing w:after="80"/>
      </w:pPr>
    </w:p>
    <w:p>
      <w:pPr>
        <w:spacing w:after="120"/>
      </w:pPr>
      <w:r>
        <w:rPr>
          <w:b w:val="0"/>
          <w:i w:val="0"/>
          <w:sz w:val="24"/>
        </w:rPr>
        <w:t>Bốn giải trùng nhau — Premier League, La Liga, Serie A, Ligue 1 — nhưng khác mùa và khác nhà cung cấp. Đây chính là điều kiện lý tưởng cho một phép thử khái quát hóa: cùng bối cảnh bóng đá, khác hoàn toàn về nguồn và quy trình sinh dữ liệu.</w:t>
      </w:r>
    </w:p>
    <w:p>
      <w:pPr>
        <w:pStyle w:val="Heading2"/>
      </w:pPr>
      <w:r>
        <w:t>5.2. Thiết kế thực nghiệm</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line="240" w:lineRule="auto"/>
            </w:pPr>
            <w:r/>
            <w:r>
              <w:rPr>
                <w:rFonts w:ascii="Consolas" w:hAnsi="Consolas" w:eastAsia="Consolas"/>
                <w:sz w:val="19"/>
              </w:rPr>
              <w:t>Dataset ① (StatsBomb 2015/16, ~1.517 trận)</w:t>
            </w:r>
          </w:p>
          <w:p>
            <w:pPr>
              <w:spacing w:after="0" w:line="240" w:lineRule="auto"/>
            </w:pPr>
            <w:r>
              <w:rPr>
                <w:rFonts w:ascii="Consolas" w:hAnsi="Consolas" w:eastAsia="Consolas"/>
                <w:sz w:val="19"/>
              </w:rPr>
              <w:t xml:space="preserve">        |</w:t>
            </w:r>
          </w:p>
          <w:p>
            <w:pPr>
              <w:spacing w:after="0" w:line="240" w:lineRule="auto"/>
            </w:pPr>
            <w:r>
              <w:rPr>
                <w:rFonts w:ascii="Consolas" w:hAnsi="Consolas" w:eastAsia="Consolas"/>
                <w:sz w:val="19"/>
              </w:rPr>
              <w:t xml:space="preserve">        +-- train / val / test  --&gt;  Buoc 5-6: huan luyen + doi sanh Tang 2, Tang 3(a)</w:t>
            </w:r>
          </w:p>
          <w:p>
            <w:pPr>
              <w:spacing w:after="0" w:line="240" w:lineRule="auto"/>
            </w:pPr>
            <w:r>
              <w:rPr>
                <w:rFonts w:ascii="Consolas" w:hAnsi="Consolas" w:eastAsia="Consolas"/>
                <w:sz w:val="19"/>
              </w:rPr>
              <w:t xml:space="preserve">        |                            Buoc 7-8: XAI + doi sanh Tang 3(b)</w:t>
            </w:r>
          </w:p>
          <w:p>
            <w:pPr>
              <w:spacing w:after="0" w:line="240" w:lineRule="auto"/>
            </w:pPr>
            <w:r>
              <w:rPr>
                <w:rFonts w:ascii="Consolas" w:hAnsi="Consolas" w:eastAsia="Consolas"/>
                <w:sz w:val="19"/>
              </w:rPr>
              <w:t xml:space="preserve">        |                            Buoc 9:   tinh Hybrid Centrality</w:t>
            </w:r>
          </w:p>
          <w:p>
            <w:pPr>
              <w:spacing w:after="0" w:line="240" w:lineRule="auto"/>
            </w:pPr>
            <w:r>
              <w:rPr>
                <w:rFonts w:ascii="Consolas" w:hAnsi="Consolas" w:eastAsia="Consolas"/>
                <w:sz w:val="19"/>
              </w:rPr>
              <w:t xml:space="preserve">        |</w:t>
            </w:r>
          </w:p>
          <w:p>
            <w:pPr>
              <w:spacing w:after="0" w:line="240" w:lineRule="auto"/>
            </w:pPr>
            <w:r>
              <w:rPr>
                <w:rFonts w:ascii="Consolas" w:hAnsi="Consolas" w:eastAsia="Consolas"/>
                <w:sz w:val="19"/>
              </w:rPr>
              <w:t xml:space="preserve">        +----------------------------------+</w:t>
            </w:r>
          </w:p>
          <w:p>
            <w:pPr>
              <w:spacing w:after="0" w:line="240" w:lineRule="auto"/>
            </w:pPr>
            <w:r>
              <w:rPr>
                <w:rFonts w:ascii="Consolas" w:hAnsi="Consolas" w:eastAsia="Consolas"/>
                <w:sz w:val="19"/>
              </w:rPr>
              <w:t xml:space="preserve">                                           |  mo hinh da chot (khong huan luyen lai)</w:t>
            </w:r>
          </w:p>
          <w:p>
            <w:pPr>
              <w:spacing w:after="0" w:line="240" w:lineRule="auto"/>
            </w:pPr>
            <w:r>
              <w:rPr>
                <w:rFonts w:ascii="Consolas" w:hAnsi="Consolas" w:eastAsia="Consolas"/>
                <w:sz w:val="19"/>
              </w:rPr>
              <w:t xml:space="preserve">                                           v</w:t>
            </w:r>
          </w:p>
          <w:p>
            <w:pPr>
              <w:spacing w:after="0" w:line="240" w:lineRule="auto"/>
            </w:pPr>
            <w:r>
              <w:rPr>
                <w:rFonts w:ascii="Consolas" w:hAnsi="Consolas" w:eastAsia="Consolas"/>
                <w:sz w:val="19"/>
              </w:rPr>
              <w:t>Dataset ② (Wyscout 2017/18, 1.941 tran) --&gt; KIEM CHUNG NGOAI</w:t>
            </w:r>
          </w:p>
          <w:p>
            <w:pPr>
              <w:spacing w:after="0" w:line="240" w:lineRule="auto"/>
            </w:pPr>
            <w:r>
              <w:rPr>
                <w:rFonts w:ascii="Consolas" w:hAnsi="Consolas" w:eastAsia="Consolas"/>
                <w:sz w:val="19"/>
              </w:rPr>
              <w:t xml:space="preserve">                                           |</w:t>
            </w:r>
          </w:p>
          <w:p>
            <w:pPr>
              <w:spacing w:after="0" w:line="240" w:lineRule="auto"/>
            </w:pPr>
            <w:r>
              <w:rPr>
                <w:rFonts w:ascii="Consolas" w:hAnsi="Consolas" w:eastAsia="Consolas"/>
                <w:sz w:val="19"/>
              </w:rPr>
              <w:t xml:space="preserve">                                           +-- Hieu nang du doan co giu duoc khong?</w:t>
            </w:r>
          </w:p>
          <w:p>
            <w:pPr>
              <w:spacing w:after="0" w:line="240" w:lineRule="auto"/>
            </w:pPr>
            <w:r>
              <w:rPr>
                <w:rFonts w:ascii="Consolas" w:hAnsi="Consolas" w:eastAsia="Consolas"/>
                <w:sz w:val="19"/>
              </w:rPr>
              <w:t xml:space="preserve">                                           +-- Subgraph quan trong co cung dang mau?</w:t>
            </w:r>
          </w:p>
          <w:p>
            <w:pPr>
              <w:spacing w:after="0" w:line="240" w:lineRule="auto"/>
            </w:pPr>
            <w:r>
              <w:rPr>
                <w:rFonts w:ascii="Consolas" w:hAnsi="Consolas" w:eastAsia="Consolas"/>
                <w:sz w:val="19"/>
              </w:rPr>
              <w:t xml:space="preserve">                                           +-- Thu hang Hybrid Centrality co on dinh?</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F6E5"/>
          </w:tcPr>
          <w:p>
            <w:pPr>
              <w:spacing w:after="40"/>
            </w:pPr>
            <w:r/>
            <w:r>
              <w:rPr>
                <w:b/>
                <w:sz w:val="22"/>
              </w:rPr>
              <w:t xml:space="preserve">Nguyên tắc bắt buộc: </w:t>
            </w:r>
            <w:r>
              <w:rPr>
                <w:sz w:val="22"/>
              </w:rPr>
              <w:t>Dataset ② không được dùng ở bất kỳ bước nào của quá trình chọn mô hình hay dò siêu tham số. Nếu vi phạm, nó không còn là kiểm chứng ngoài nữa.</w:t>
            </w:r>
          </w:p>
        </w:tc>
      </w:tr>
    </w:tbl>
    <w:p>
      <w:pPr>
        <w:spacing w:after="80"/>
      </w:pPr>
    </w:p>
    <w:p>
      <w:pPr>
        <w:pStyle w:val="Heading2"/>
      </w:pPr>
      <w:r>
        <w:t>5.3. Liên hệ với câu hỏi nghiên cứu đã đặt</w:t>
      </w:r>
    </w:p>
    <w:p>
      <w:pPr>
        <w:spacing w:after="120"/>
      </w:pPr>
      <w:r>
        <w:rPr>
          <w:b w:val="0"/>
          <w:i w:val="0"/>
          <w:sz w:val="24"/>
        </w:rPr>
        <w:t>Thiết kế này trả lời trực tiếp ba câu hỏi nghiên cứu mà kế hoạch dữ liệu cũ không thể trả lời:</w:t>
      </w:r>
    </w:p>
    <w:tbl>
      <w:tblPr>
        <w:tblStyle w:val="TableGrid"/>
        <w:tblW w:type="auto" w:w="0"/>
        <w:jc w:val="center"/>
        <w:tblLook w:firstColumn="1" w:firstRow="1" w:lastColumn="0" w:lastRow="0" w:noHBand="0" w:noVBand="1" w:val="04A0"/>
      </w:tblPr>
      <w:tblGrid>
        <w:gridCol w:w="4844"/>
        <w:gridCol w:w="4844"/>
      </w:tblGrid>
      <w:tr>
        <w:tc>
          <w:tcPr>
            <w:tcW w:type="dxa" w:w="4535"/>
            <w:shd w:val="clear" w:color="auto" w:fill="1F3864"/>
          </w:tcPr>
          <w:p>
            <w:pPr>
              <w:spacing w:after="40" w:before="40"/>
            </w:pPr>
            <w:r/>
            <w:r>
              <w:rPr>
                <w:b/>
                <w:color w:val="FFFFFF"/>
                <w:sz w:val="21"/>
              </w:rPr>
              <w:t>Câu hỏi nghiên cứu</w:t>
            </w:r>
          </w:p>
        </w:tc>
        <w:tc>
          <w:tcPr>
            <w:tcW w:type="dxa" w:w="4535"/>
            <w:shd w:val="clear" w:color="auto" w:fill="1F3864"/>
          </w:tcPr>
          <w:p>
            <w:pPr>
              <w:spacing w:after="40" w:before="40"/>
            </w:pPr>
            <w:r/>
            <w:r>
              <w:rPr>
                <w:b/>
                <w:color w:val="FFFFFF"/>
                <w:sz w:val="21"/>
              </w:rPr>
              <w:t>Cách trả lời</w:t>
            </w:r>
          </w:p>
        </w:tc>
      </w:tr>
      <w:tr>
        <w:tc>
          <w:tcPr>
            <w:tcW w:type="dxa" w:w="4535"/>
          </w:tcPr>
          <w:p>
            <w:pPr>
              <w:spacing w:after="40" w:before="40"/>
            </w:pPr>
            <w:r/>
            <w:r>
              <w:rPr>
                <w:b w:val="0"/>
                <w:sz w:val="21"/>
              </w:rPr>
              <w:t>RQ5 — Thành phần XAI quan trọng có nhất quán giữa các possession không?</w:t>
            </w:r>
          </w:p>
        </w:tc>
        <w:tc>
          <w:tcPr>
            <w:tcW w:type="dxa" w:w="4535"/>
          </w:tcPr>
          <w:p>
            <w:pPr>
              <w:spacing w:after="40" w:before="40"/>
            </w:pPr>
            <w:r/>
            <w:r>
              <w:rPr>
                <w:b w:val="0"/>
                <w:sz w:val="21"/>
              </w:rPr>
              <w:t>Mở rộng thành: có nhất quán qua hai nhà cung cấp không</w:t>
            </w:r>
          </w:p>
        </w:tc>
      </w:tr>
      <w:tr>
        <w:tc>
          <w:tcPr>
            <w:tcW w:type="dxa" w:w="4535"/>
            <w:shd w:val="clear" w:color="auto" w:fill="EEF2F8"/>
          </w:tcPr>
          <w:p>
            <w:pPr>
              <w:spacing w:after="40" w:before="40"/>
            </w:pPr>
            <w:r/>
            <w:r>
              <w:rPr>
                <w:b w:val="0"/>
                <w:sz w:val="21"/>
              </w:rPr>
              <w:t>RQ7 — Phương pháp có phân biệt được khác biệt chiến thuật giữa đội/trận không?</w:t>
            </w:r>
          </w:p>
        </w:tc>
        <w:tc>
          <w:tcPr>
            <w:tcW w:type="dxa" w:w="4535"/>
            <w:shd w:val="clear" w:color="auto" w:fill="EEF2F8"/>
          </w:tcPr>
          <w:p>
            <w:pPr>
              <w:spacing w:after="40" w:before="40"/>
            </w:pPr>
            <w:r/>
            <w:r>
              <w:rPr>
                <w:b w:val="0"/>
                <w:sz w:val="21"/>
              </w:rPr>
              <w:t>Kiểm tra trên hai tập giải đấu độc lập</w:t>
            </w:r>
          </w:p>
        </w:tc>
      </w:tr>
      <w:tr>
        <w:tc>
          <w:tcPr>
            <w:tcW w:type="dxa" w:w="4535"/>
          </w:tcPr>
          <w:p>
            <w:pPr>
              <w:spacing w:after="40" w:before="40"/>
            </w:pPr>
            <w:r/>
            <w:r>
              <w:rPr>
                <w:b w:val="0"/>
                <w:sz w:val="21"/>
              </w:rPr>
              <w:t>RQ8 — Giải thích có chuyển thành tri thức tái lập được không?</w:t>
            </w:r>
          </w:p>
        </w:tc>
        <w:tc>
          <w:tcPr>
            <w:tcW w:type="dxa" w:w="4535"/>
          </w:tcPr>
          <w:p>
            <w:pPr>
              <w:spacing w:after="40" w:before="40"/>
            </w:pPr>
            <w:r/>
            <w:r>
              <w:rPr>
                <w:b w:val="0"/>
                <w:sz w:val="21"/>
              </w:rPr>
              <w:t>Tái lập trên nguồn dữ liệu khác chính là định nghĩa chặt nhất của “tái lập được”</w:t>
            </w:r>
          </w:p>
        </w:tc>
      </w:tr>
    </w:tbl>
    <w:p>
      <w:pPr>
        <w:spacing w:after="80"/>
      </w:pPr>
    </w:p>
    <w:p>
      <w:pPr>
        <w:spacing w:after="120"/>
      </w:pPr>
      <w:r>
        <w:rPr>
          <w:b w:val="0"/>
          <w:i w:val="0"/>
          <w:sz w:val="24"/>
        </w:rPr>
        <w:t>Nếu Hybrid Centrality giữ được thứ hạng cầu thủ ổn định qua hai nhà cung cấp khác nhau, đó là bằng chứng mạnh hơn hẳn kết quả chỉ chạy trên một nguồn — và là câu trả lời sẵn cho câu hỏi “kết quả này có khái quát được không” mà hội đồng gần như chắc chắn sẽ đặt ra.</w:t>
      </w:r>
    </w:p>
    <w:p>
      <w:pPr>
        <w:pStyle w:val="Heading1"/>
      </w:pPr>
      <w:r>
        <w:t>6. Rủi ro kỹ thuật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567"/>
            <w:shd w:val="clear" w:color="auto" w:fill="1F3864"/>
          </w:tcPr>
          <w:p>
            <w:pPr>
              <w:spacing w:after="40" w:before="40"/>
            </w:pPr>
            <w:r/>
            <w:r>
              <w:rPr>
                <w:b/>
                <w:color w:val="FFFFFF"/>
                <w:sz w:val="21"/>
              </w:rPr>
              <w:t>#</w:t>
            </w:r>
          </w:p>
        </w:tc>
        <w:tc>
          <w:tcPr>
            <w:tcW w:type="dxa" w:w="2268"/>
            <w:shd w:val="clear" w:color="auto" w:fill="1F3864"/>
          </w:tcPr>
          <w:p>
            <w:pPr>
              <w:spacing w:after="40" w:before="40"/>
            </w:pPr>
            <w:r/>
            <w:r>
              <w:rPr>
                <w:b/>
                <w:color w:val="FFFFFF"/>
                <w:sz w:val="21"/>
              </w:rPr>
              <w:t>Rủi ro</w:t>
            </w:r>
          </w:p>
        </w:tc>
        <w:tc>
          <w:tcPr>
            <w:tcW w:type="dxa" w:w="850"/>
            <w:shd w:val="clear" w:color="auto" w:fill="1F3864"/>
          </w:tcPr>
          <w:p>
            <w:pPr>
              <w:spacing w:after="40" w:before="40"/>
            </w:pPr>
            <w:r/>
            <w:r>
              <w:rPr>
                <w:b/>
                <w:color w:val="FFFFFF"/>
                <w:sz w:val="21"/>
              </w:rPr>
              <w:t>Mức</w:t>
            </w:r>
          </w:p>
        </w:tc>
        <w:tc>
          <w:tcPr>
            <w:tcW w:type="dxa" w:w="5386"/>
            <w:shd w:val="clear" w:color="auto" w:fill="1F3864"/>
          </w:tcPr>
          <w:p>
            <w:pPr>
              <w:spacing w:after="40" w:before="40"/>
            </w:pPr>
            <w:r/>
            <w:r>
              <w:rPr>
                <w:b/>
                <w:color w:val="FFFFFF"/>
                <w:sz w:val="21"/>
              </w:rPr>
              <w:t>Hướng xử lý</w:t>
            </w:r>
          </w:p>
        </w:tc>
      </w:tr>
      <w:tr>
        <w:tc>
          <w:tcPr>
            <w:tcW w:type="dxa" w:w="567"/>
          </w:tcPr>
          <w:p>
            <w:pPr>
              <w:spacing w:after="40" w:before="40"/>
            </w:pPr>
            <w:r/>
            <w:r>
              <w:rPr>
                <w:b w:val="0"/>
                <w:sz w:val="21"/>
              </w:rPr>
              <w:t>R1</w:t>
            </w:r>
          </w:p>
        </w:tc>
        <w:tc>
          <w:tcPr>
            <w:tcW w:type="dxa" w:w="2268"/>
          </w:tcPr>
          <w:p>
            <w:pPr>
              <w:spacing w:after="40" w:before="40"/>
            </w:pPr>
            <w:r/>
            <w:r>
              <w:rPr>
                <w:b w:val="0"/>
                <w:sz w:val="21"/>
              </w:rPr>
              <w:t>Wyscout không có trường possession — phải tự tái tạo possession sequence</w:t>
            </w:r>
          </w:p>
        </w:tc>
        <w:tc>
          <w:tcPr>
            <w:tcW w:type="dxa" w:w="850"/>
          </w:tcPr>
          <w:p>
            <w:pPr>
              <w:spacing w:after="40" w:before="40"/>
            </w:pPr>
            <w:r/>
            <w:r>
              <w:rPr>
                <w:b w:val="0"/>
                <w:sz w:val="21"/>
              </w:rPr>
              <w:t>Cao</w:t>
            </w:r>
          </w:p>
        </w:tc>
        <w:tc>
          <w:tcPr>
            <w:tcW w:type="dxa" w:w="5386"/>
          </w:tcPr>
          <w:p>
            <w:pPr>
              <w:spacing w:after="40" w:before="40"/>
            </w:pPr>
            <w:r/>
            <w:r>
              <w:rPr>
                <w:b w:val="0"/>
                <w:sz w:val="21"/>
              </w:rPr>
              <w:t>Dùng socceraction: chuyển cả hai nguồn về định dạng trung gian SPADL; module xT của thư viện này đã có sẵn logic chia trận thành possession. Quy tắc tái tạo phải ghi vào quyết định 0001 và áp dụng giống hệt nhau cho cả hai nguồn — nếu không, so sánh sẽ không công bằng và toàn bộ kết luận kiểm chứng chéo mất giá trị.</w:t>
            </w:r>
          </w:p>
        </w:tc>
      </w:tr>
      <w:tr>
        <w:tc>
          <w:tcPr>
            <w:tcW w:type="dxa" w:w="567"/>
            <w:shd w:val="clear" w:color="auto" w:fill="EEF2F8"/>
          </w:tcPr>
          <w:p>
            <w:pPr>
              <w:spacing w:after="40" w:before="40"/>
            </w:pPr>
            <w:r/>
            <w:r>
              <w:rPr>
                <w:b w:val="0"/>
                <w:sz w:val="21"/>
              </w:rPr>
              <w:t>R2</w:t>
            </w:r>
          </w:p>
        </w:tc>
        <w:tc>
          <w:tcPr>
            <w:tcW w:type="dxa" w:w="2268"/>
            <w:shd w:val="clear" w:color="auto" w:fill="EEF2F8"/>
          </w:tcPr>
          <w:p>
            <w:pPr>
              <w:spacing w:after="40" w:before="40"/>
            </w:pPr>
            <w:r/>
            <w:r>
              <w:rPr>
                <w:b w:val="0"/>
                <w:sz w:val="21"/>
              </w:rPr>
              <w:t>Hệ tọa độ khác nhau (120×80 tuyệt đối so với 0–100 phần trăm)</w:t>
            </w:r>
          </w:p>
        </w:tc>
        <w:tc>
          <w:tcPr>
            <w:tcW w:type="dxa" w:w="850"/>
            <w:shd w:val="clear" w:color="auto" w:fill="EEF2F8"/>
          </w:tcPr>
          <w:p>
            <w:pPr>
              <w:spacing w:after="40" w:before="40"/>
            </w:pPr>
            <w:r/>
            <w:r>
              <w:rPr>
                <w:b w:val="0"/>
                <w:sz w:val="21"/>
              </w:rPr>
              <w:t>Vừa</w:t>
            </w:r>
          </w:p>
        </w:tc>
        <w:tc>
          <w:tcPr>
            <w:tcW w:type="dxa" w:w="5386"/>
            <w:shd w:val="clear" w:color="auto" w:fill="EEF2F8"/>
          </w:tcPr>
          <w:p>
            <w:pPr>
              <w:spacing w:after="40" w:before="40"/>
            </w:pPr>
            <w:r/>
            <w:r>
              <w:rPr>
                <w:b w:val="0"/>
                <w:sz w:val="21"/>
              </w:rPr>
              <w:t>Chuẩn hóa về một hệ duy nhất trước khi trích đặc trưng cạnh. Thư viện kloppy hỗ trợ; vẫn phải kiểm tra thủ công xem hướng tấn công đã được lật đúng chưa (Bước 2.4).</w:t>
            </w:r>
          </w:p>
        </w:tc>
      </w:tr>
      <w:tr>
        <w:tc>
          <w:tcPr>
            <w:tcW w:type="dxa" w:w="567"/>
          </w:tcPr>
          <w:p>
            <w:pPr>
              <w:spacing w:after="40" w:before="40"/>
            </w:pPr>
            <w:r/>
            <w:r>
              <w:rPr>
                <w:b w:val="0"/>
                <w:sz w:val="21"/>
              </w:rPr>
              <w:t>R3</w:t>
            </w:r>
          </w:p>
        </w:tc>
        <w:tc>
          <w:tcPr>
            <w:tcW w:type="dxa" w:w="2268"/>
          </w:tcPr>
          <w:p>
            <w:pPr>
              <w:spacing w:after="40" w:before="40"/>
            </w:pPr>
            <w:r/>
            <w:r>
              <w:rPr>
                <w:b w:val="0"/>
                <w:sz w:val="21"/>
              </w:rPr>
              <w:t>Bộ phân loại event khác nhau giữa hai nhà cung cấp</w:t>
            </w:r>
          </w:p>
        </w:tc>
        <w:tc>
          <w:tcPr>
            <w:tcW w:type="dxa" w:w="850"/>
          </w:tcPr>
          <w:p>
            <w:pPr>
              <w:spacing w:after="40" w:before="40"/>
            </w:pPr>
            <w:r/>
            <w:r>
              <w:rPr>
                <w:b w:val="0"/>
                <w:sz w:val="21"/>
              </w:rPr>
              <w:t>Vừa</w:t>
            </w:r>
          </w:p>
        </w:tc>
        <w:tc>
          <w:tcPr>
            <w:tcW w:type="dxa" w:w="5386"/>
          </w:tcPr>
          <w:p>
            <w:pPr>
              <w:spacing w:after="40" w:before="40"/>
            </w:pPr>
            <w:r/>
            <w:r>
              <w:rPr>
                <w:b w:val="0"/>
                <w:sz w:val="21"/>
              </w:rPr>
              <w:t>SPADL là lớp trung gian được thiết kế đúng cho vấn đề này. Đánh đổi: đặc trưng cạnh phải lấy phần giao của hai nguồn, chấp nhận bỏ các trường chỉ StatsBomb mới có (under_pressure, technique, body_part).</w:t>
            </w:r>
          </w:p>
        </w:tc>
      </w:tr>
      <w:tr>
        <w:tc>
          <w:tcPr>
            <w:tcW w:type="dxa" w:w="567"/>
            <w:shd w:val="clear" w:color="auto" w:fill="EEF2F8"/>
          </w:tcPr>
          <w:p>
            <w:pPr>
              <w:spacing w:after="40" w:before="40"/>
            </w:pPr>
            <w:r/>
            <w:r>
              <w:rPr>
                <w:b w:val="0"/>
                <w:sz w:val="21"/>
              </w:rPr>
              <w:t>R4</w:t>
            </w:r>
          </w:p>
        </w:tc>
        <w:tc>
          <w:tcPr>
            <w:tcW w:type="dxa" w:w="2268"/>
            <w:shd w:val="clear" w:color="auto" w:fill="EEF2F8"/>
          </w:tcPr>
          <w:p>
            <w:pPr>
              <w:spacing w:after="40" w:before="40"/>
            </w:pPr>
            <w:r/>
            <w:r>
              <w:rPr>
                <w:b w:val="0"/>
                <w:sz w:val="21"/>
              </w:rPr>
              <w:t>Chênh lệch mùa giải (2015/16 so với 2017/18)</w:t>
            </w:r>
          </w:p>
        </w:tc>
        <w:tc>
          <w:tcPr>
            <w:tcW w:type="dxa" w:w="850"/>
            <w:shd w:val="clear" w:color="auto" w:fill="EEF2F8"/>
          </w:tcPr>
          <w:p>
            <w:pPr>
              <w:spacing w:after="40" w:before="40"/>
            </w:pPr>
            <w:r/>
            <w:r>
              <w:rPr>
                <w:b w:val="0"/>
                <w:sz w:val="21"/>
              </w:rPr>
              <w:t>Thấp</w:t>
            </w:r>
          </w:p>
        </w:tc>
        <w:tc>
          <w:tcPr>
            <w:tcW w:type="dxa" w:w="5386"/>
            <w:shd w:val="clear" w:color="auto" w:fill="EEF2F8"/>
          </w:tcPr>
          <w:p>
            <w:pPr>
              <w:spacing w:after="40" w:before="40"/>
            </w:pPr>
            <w:r/>
            <w:r>
              <w:rPr>
                <w:b w:val="0"/>
                <w:sz w:val="21"/>
              </w:rPr>
              <w:t>Là chủ ý thiết kế, không phải lỗi. Nhưng phải nêu rõ trong phần hạn chế: chênh lệch hiệu năng khi chuyển nguồn có thể đến từ khác biệt mùa giải chứ không chỉ từ khác biệt nhà cung cấp. Không được diễn giải quá mức.</w:t>
            </w:r>
          </w:p>
        </w:tc>
      </w:tr>
      <w:tr>
        <w:tc>
          <w:tcPr>
            <w:tcW w:type="dxa" w:w="567"/>
          </w:tcPr>
          <w:p>
            <w:pPr>
              <w:spacing w:after="40" w:before="40"/>
            </w:pPr>
            <w:r/>
            <w:r>
              <w:rPr>
                <w:b w:val="0"/>
                <w:sz w:val="21"/>
              </w:rPr>
              <w:t>R5</w:t>
            </w:r>
          </w:p>
        </w:tc>
        <w:tc>
          <w:tcPr>
            <w:tcW w:type="dxa" w:w="2268"/>
          </w:tcPr>
          <w:p>
            <w:pPr>
              <w:spacing w:after="40" w:before="40"/>
            </w:pPr>
            <w:r/>
            <w:r>
              <w:rPr>
                <w:b w:val="0"/>
                <w:sz w:val="21"/>
              </w:rPr>
              <w:t>Đội hình cầu thủ hai nguồn không trùng nhau</w:t>
            </w:r>
          </w:p>
        </w:tc>
        <w:tc>
          <w:tcPr>
            <w:tcW w:type="dxa" w:w="850"/>
          </w:tcPr>
          <w:p>
            <w:pPr>
              <w:spacing w:after="40" w:before="40"/>
            </w:pPr>
            <w:r/>
            <w:r>
              <w:rPr>
                <w:b w:val="0"/>
                <w:sz w:val="21"/>
              </w:rPr>
              <w:t>Thấp</w:t>
            </w:r>
          </w:p>
        </w:tc>
        <w:tc>
          <w:tcPr>
            <w:tcW w:type="dxa" w:w="5386"/>
          </w:tcPr>
          <w:p>
            <w:pPr>
              <w:spacing w:after="40" w:before="40"/>
            </w:pPr>
            <w:r/>
            <w:r>
              <w:rPr>
                <w:b w:val="0"/>
                <w:sz w:val="21"/>
              </w:rPr>
              <w:t>Ràng buộc ngược lên thiết kế: node feature chỉ được dùng vai trò/vị trí và thống kê trong possession, tuyệt đối không dùng player ID làm đặc trưng. Nếu vi phạm, mô hình không chạy được trên nguồn ②.</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F6E5"/>
          </w:tcPr>
          <w:p>
            <w:pPr>
              <w:spacing w:after="40"/>
            </w:pPr>
            <w:r/>
            <w:r>
              <w:rPr>
                <w:b/>
                <w:sz w:val="22"/>
              </w:rPr>
              <w:t xml:space="preserve">Ưu tiên xử lý: </w:t>
            </w:r>
            <w:r>
              <w:rPr>
                <w:sz w:val="22"/>
              </w:rPr>
              <w:t>R1 và R5 phải được xử lý trước khi bắt đầu viết mã, vì chúng ràng buộc thiết kế ở Bước 2.1 và Bước 3.1.</w:t>
            </w:r>
          </w:p>
        </w:tc>
      </w:tr>
    </w:tbl>
    <w:p>
      <w:pPr>
        <w:spacing w:after="80"/>
      </w:pPr>
    </w:p>
    <w:p>
      <w:r>
        <w:br w:type="page"/>
      </w:r>
    </w:p>
    <w:p>
      <w:pPr>
        <w:pStyle w:val="Heading1"/>
      </w:pPr>
      <w:r>
        <w:t>7. Các bộ dữ liệu đã xét và loại</w:t>
      </w:r>
    </w:p>
    <w:tbl>
      <w:tblPr>
        <w:tblStyle w:val="TableGrid"/>
        <w:tblW w:type="auto" w:w="0"/>
        <w:jc w:val="center"/>
        <w:tblLook w:firstColumn="1" w:firstRow="1" w:lastColumn="0" w:lastRow="0" w:noHBand="0" w:noVBand="1" w:val="04A0"/>
      </w:tblPr>
      <w:tblGrid>
        <w:gridCol w:w="3230"/>
        <w:gridCol w:w="3230"/>
        <w:gridCol w:w="3230"/>
      </w:tblGrid>
      <w:tr>
        <w:tc>
          <w:tcPr>
            <w:tcW w:type="dxa" w:w="2551"/>
            <w:shd w:val="clear" w:color="auto" w:fill="1F3864"/>
          </w:tcPr>
          <w:p>
            <w:pPr>
              <w:spacing w:after="40" w:before="40"/>
            </w:pPr>
            <w:r/>
            <w:r>
              <w:rPr>
                <w:b/>
                <w:color w:val="FFFFFF"/>
                <w:sz w:val="21"/>
              </w:rPr>
              <w:t>Bộ dữ liệu</w:t>
            </w:r>
          </w:p>
        </w:tc>
        <w:tc>
          <w:tcPr>
            <w:tcW w:type="dxa" w:w="1984"/>
            <w:shd w:val="clear" w:color="auto" w:fill="1F3864"/>
          </w:tcPr>
          <w:p>
            <w:pPr>
              <w:spacing w:after="40" w:before="40"/>
            </w:pPr>
            <w:r/>
            <w:r>
              <w:rPr>
                <w:b/>
                <w:color w:val="FFFFFF"/>
                <w:sz w:val="21"/>
              </w:rPr>
              <w:t>Quy mô</w:t>
            </w:r>
          </w:p>
        </w:tc>
        <w:tc>
          <w:tcPr>
            <w:tcW w:type="dxa" w:w="4535"/>
            <w:shd w:val="clear" w:color="auto" w:fill="1F3864"/>
          </w:tcPr>
          <w:p>
            <w:pPr>
              <w:spacing w:after="40" w:before="40"/>
            </w:pPr>
            <w:r/>
            <w:r>
              <w:rPr>
                <w:b/>
                <w:color w:val="FFFFFF"/>
                <w:sz w:val="21"/>
              </w:rPr>
              <w:t>Vì sao loại</w:t>
            </w:r>
          </w:p>
        </w:tc>
      </w:tr>
      <w:tr>
        <w:tc>
          <w:tcPr>
            <w:tcW w:type="dxa" w:w="2551"/>
          </w:tcPr>
          <w:p>
            <w:pPr>
              <w:spacing w:after="40" w:before="40"/>
            </w:pPr>
            <w:r/>
            <w:r>
              <w:rPr>
                <w:b w:val="0"/>
                <w:sz w:val="21"/>
              </w:rPr>
              <w:t>PFF FC — FIFA World Cup 2022</w:t>
            </w:r>
          </w:p>
        </w:tc>
        <w:tc>
          <w:tcPr>
            <w:tcW w:type="dxa" w:w="1984"/>
          </w:tcPr>
          <w:p>
            <w:pPr>
              <w:spacing w:after="40" w:before="40"/>
            </w:pPr>
            <w:r/>
            <w:r>
              <w:rPr>
                <w:b w:val="0"/>
                <w:sz w:val="21"/>
              </w:rPr>
              <w:t>64 trận, event + broadcast tracking, có grade từng pha</w:t>
            </w:r>
          </w:p>
        </w:tc>
        <w:tc>
          <w:tcPr>
            <w:tcW w:type="dxa" w:w="4535"/>
          </w:tcPr>
          <w:p>
            <w:pPr>
              <w:spacing w:after="40" w:before="40"/>
            </w:pPr>
            <w:r/>
            <w:r>
              <w:rPr>
                <w:b w:val="0"/>
                <w:sz w:val="21"/>
              </w:rPr>
              <w:t>Phải gửi yêu cầu xin quyền truy cập, không tải tự do được — vi phạm tiêu chí 7, rủi ro tiến độ. Cỡ mẫu 64 trận cũng chưa đủ. Giữ làm dự phòng nếu sau này muốn mở rộng sang tracking data.</w:t>
            </w:r>
          </w:p>
        </w:tc>
      </w:tr>
      <w:tr>
        <w:tc>
          <w:tcPr>
            <w:tcW w:type="dxa" w:w="2551"/>
            <w:shd w:val="clear" w:color="auto" w:fill="EEF2F8"/>
          </w:tcPr>
          <w:p>
            <w:pPr>
              <w:spacing w:after="40" w:before="40"/>
            </w:pPr>
            <w:r/>
            <w:r>
              <w:rPr>
                <w:b w:val="0"/>
                <w:sz w:val="21"/>
              </w:rPr>
              <w:t>Bassek et al. 2025 — An integrated dataset of spatiotemporal and event data in elite soccer, Scientific Data, CC BY 4.0</w:t>
            </w:r>
          </w:p>
        </w:tc>
        <w:tc>
          <w:tcPr>
            <w:tcW w:type="dxa" w:w="1984"/>
            <w:shd w:val="clear" w:color="auto" w:fill="EEF2F8"/>
          </w:tcPr>
          <w:p>
            <w:pPr>
              <w:spacing w:after="40" w:before="40"/>
            </w:pPr>
            <w:r/>
            <w:r>
              <w:rPr>
                <w:b w:val="0"/>
                <w:sz w:val="21"/>
              </w:rPr>
              <w:t>7 trận Bundesliga 1 và 2</w:t>
            </w:r>
          </w:p>
        </w:tc>
        <w:tc>
          <w:tcPr>
            <w:tcW w:type="dxa" w:w="4535"/>
            <w:shd w:val="clear" w:color="auto" w:fill="EEF2F8"/>
          </w:tcPr>
          <w:p>
            <w:pPr>
              <w:spacing w:after="40" w:before="40"/>
            </w:pPr>
            <w:r/>
            <w:r>
              <w:rPr>
                <w:b w:val="0"/>
                <w:sz w:val="21"/>
              </w:rPr>
              <w:t>Chất lượng rất cao: dữ liệu vị trí chính thức đầu tiên của một giải đỉnh cao, đồng bộ event và position, đã bình duyệt. Nhưng 7 trận là quá nhỏ để huấn luyện. Có thể dùng cho case study định tính ở Bước 10, hoặc kiểm tra trực quan xem subgraph XAI có khớp với vị trí thực tế của cầu thủ không.</w:t>
            </w:r>
          </w:p>
        </w:tc>
      </w:tr>
      <w:tr>
        <w:tc>
          <w:tcPr>
            <w:tcW w:type="dxa" w:w="2551"/>
          </w:tcPr>
          <w:p>
            <w:pPr>
              <w:spacing w:after="40" w:before="40"/>
            </w:pPr>
            <w:r/>
            <w:r>
              <w:rPr>
                <w:b w:val="0"/>
                <w:sz w:val="21"/>
              </w:rPr>
              <w:t>SkillCorner Open Data</w:t>
            </w:r>
          </w:p>
        </w:tc>
        <w:tc>
          <w:tcPr>
            <w:tcW w:type="dxa" w:w="1984"/>
          </w:tcPr>
          <w:p>
            <w:pPr>
              <w:spacing w:after="40" w:before="40"/>
            </w:pPr>
            <w:r/>
            <w:r>
              <w:rPr>
                <w:b w:val="0"/>
                <w:sz w:val="21"/>
              </w:rPr>
              <w:t>10 trận A-League 2024/25</w:t>
            </w:r>
          </w:p>
        </w:tc>
        <w:tc>
          <w:tcPr>
            <w:tcW w:type="dxa" w:w="4535"/>
          </w:tcPr>
          <w:p>
            <w:pPr>
              <w:spacing w:after="40" w:before="40"/>
            </w:pPr>
            <w:r/>
            <w:r>
              <w:rPr>
                <w:b w:val="0"/>
                <w:sz w:val="21"/>
              </w:rPr>
              <w:t>Tracking từ sóng truyền hình, không phải event data đầy đủ. Không có người nhận đường chuyền — vi phạm tiêu chí 2.</w:t>
            </w:r>
          </w:p>
        </w:tc>
      </w:tr>
      <w:tr>
        <w:tc>
          <w:tcPr>
            <w:tcW w:type="dxa" w:w="2551"/>
            <w:shd w:val="clear" w:color="auto" w:fill="EEF2F8"/>
          </w:tcPr>
          <w:p>
            <w:pPr>
              <w:spacing w:after="40" w:before="40"/>
            </w:pPr>
            <w:r/>
            <w:r>
              <w:rPr>
                <w:b w:val="0"/>
                <w:sz w:val="21"/>
              </w:rPr>
              <w:t>Metrica Sports Sample Data</w:t>
            </w:r>
          </w:p>
        </w:tc>
        <w:tc>
          <w:tcPr>
            <w:tcW w:type="dxa" w:w="1984"/>
            <w:shd w:val="clear" w:color="auto" w:fill="EEF2F8"/>
          </w:tcPr>
          <w:p>
            <w:pPr>
              <w:spacing w:after="40" w:before="40"/>
            </w:pPr>
            <w:r/>
            <w:r>
              <w:rPr>
                <w:b w:val="0"/>
                <w:sz w:val="21"/>
              </w:rPr>
              <w:t>3 trận</w:t>
            </w:r>
          </w:p>
        </w:tc>
        <w:tc>
          <w:tcPr>
            <w:tcW w:type="dxa" w:w="4535"/>
            <w:shd w:val="clear" w:color="auto" w:fill="EEF2F8"/>
          </w:tcPr>
          <w:p>
            <w:pPr>
              <w:spacing w:after="40" w:before="40"/>
            </w:pPr>
            <w:r/>
            <w:r>
              <w:rPr>
                <w:b w:val="0"/>
                <w:sz w:val="21"/>
              </w:rPr>
              <w:t>Đã ẩn danh cầu thủ — không phân tích được vai trò cầu thủ, vi phạm tiêu chí 1.</w:t>
            </w:r>
          </w:p>
        </w:tc>
      </w:tr>
      <w:tr>
        <w:tc>
          <w:tcPr>
            <w:tcW w:type="dxa" w:w="2551"/>
          </w:tcPr>
          <w:p>
            <w:pPr>
              <w:spacing w:after="40" w:before="40"/>
            </w:pPr>
            <w:r/>
            <w:r>
              <w:rPr>
                <w:b w:val="0"/>
                <w:sz w:val="21"/>
              </w:rPr>
              <w:t>StatsBomb — Bundesliga 2023/24 + UCL</w:t>
            </w:r>
          </w:p>
        </w:tc>
        <w:tc>
          <w:tcPr>
            <w:tcW w:type="dxa" w:w="1984"/>
          </w:tcPr>
          <w:p>
            <w:pPr>
              <w:spacing w:after="40" w:before="40"/>
            </w:pPr>
            <w:r/>
            <w:r>
              <w:rPr>
                <w:b w:val="0"/>
                <w:sz w:val="21"/>
              </w:rPr>
              <w:t>~50 trận</w:t>
            </w:r>
          </w:p>
        </w:tc>
        <w:tc>
          <w:tcPr>
            <w:tcW w:type="dxa" w:w="4535"/>
          </w:tcPr>
          <w:p>
            <w:pPr>
              <w:spacing w:after="40" w:before="40"/>
            </w:pPr>
            <w:r/>
            <w:r>
              <w:rPr>
                <w:b w:val="0"/>
                <w:sz w:val="21"/>
              </w:rPr>
              <w:t>Kế hoạch cũ. Xem mục 1.</w:t>
            </w:r>
          </w:p>
        </w:tc>
      </w:tr>
      <w:tr>
        <w:tc>
          <w:tcPr>
            <w:tcW w:type="dxa" w:w="2551"/>
            <w:shd w:val="clear" w:color="auto" w:fill="EEF2F8"/>
          </w:tcPr>
          <w:p>
            <w:pPr>
              <w:spacing w:after="40" w:before="40"/>
            </w:pPr>
            <w:r/>
            <w:r>
              <w:rPr>
                <w:b w:val="0"/>
                <w:sz w:val="21"/>
              </w:rPr>
              <w:t>football.db / openfootball</w:t>
            </w:r>
          </w:p>
        </w:tc>
        <w:tc>
          <w:tcPr>
            <w:tcW w:type="dxa" w:w="1984"/>
            <w:shd w:val="clear" w:color="auto" w:fill="EEF2F8"/>
          </w:tcPr>
          <w:p>
            <w:pPr>
              <w:spacing w:after="40" w:before="40"/>
            </w:pPr>
            <w:r/>
            <w:r>
              <w:rPr>
                <w:b w:val="0"/>
                <w:sz w:val="21"/>
              </w:rPr>
              <w:t>—</w:t>
            </w:r>
          </w:p>
        </w:tc>
        <w:tc>
          <w:tcPr>
            <w:tcW w:type="dxa" w:w="4535"/>
            <w:shd w:val="clear" w:color="auto" w:fill="EEF2F8"/>
          </w:tcPr>
          <w:p>
            <w:pPr>
              <w:spacing w:after="40" w:before="40"/>
            </w:pPr>
            <w:r/>
            <w:r>
              <w:rPr>
                <w:b w:val="0"/>
                <w:sz w:val="21"/>
              </w:rPr>
              <w:t>Chỉ có kết quả trận và metadata, không có event data — vi phạm tiêu chí 1, 2, 3.</w:t>
            </w:r>
          </w:p>
        </w:tc>
      </w:tr>
    </w:tbl>
    <w:p>
      <w:pPr>
        <w:spacing w:after="80"/>
      </w:pPr>
    </w:p>
    <w:p>
      <w:pPr>
        <w:pStyle w:val="Heading1"/>
      </w:pPr>
      <w:r>
        <w:t>8. Ảnh hưởng ngược lên thiết kế pipeline</w:t>
      </w:r>
    </w:p>
    <w:p>
      <w:pPr>
        <w:spacing w:after="120"/>
      </w:pPr>
      <w:r>
        <w:rPr>
          <w:b w:val="0"/>
          <w:i w:val="0"/>
          <w:sz w:val="24"/>
        </w:rPr>
        <w:t>Việc chọn hai nguồn kéo theo một số ràng buộc phải áp dụng ngay từ đầu, không thể sửa sau khi đã huấn luyện mô hình:</w:t>
      </w:r>
    </w:p>
    <w:tbl>
      <w:tblPr>
        <w:tblStyle w:val="TableGrid"/>
        <w:tblW w:type="auto" w:w="0"/>
        <w:jc w:val="center"/>
        <w:tblLook w:firstColumn="1" w:firstRow="1" w:lastColumn="0" w:lastRow="0" w:noHBand="0" w:noVBand="1" w:val="04A0"/>
      </w:tblPr>
      <w:tblGrid>
        <w:gridCol w:w="4844"/>
        <w:gridCol w:w="4844"/>
      </w:tblGrid>
      <w:tr>
        <w:tc>
          <w:tcPr>
            <w:tcW w:type="dxa" w:w="2835"/>
            <w:shd w:val="clear" w:color="auto" w:fill="1F3864"/>
          </w:tcPr>
          <w:p>
            <w:pPr>
              <w:spacing w:after="40" w:before="40"/>
            </w:pPr>
            <w:r/>
            <w:r>
              <w:rPr>
                <w:b/>
                <w:color w:val="FFFFFF"/>
                <w:sz w:val="21"/>
              </w:rPr>
              <w:t>Mục trong Quy trình</w:t>
            </w:r>
          </w:p>
        </w:tc>
        <w:tc>
          <w:tcPr>
            <w:tcW w:type="dxa" w:w="6236"/>
            <w:shd w:val="clear" w:color="auto" w:fill="1F3864"/>
          </w:tcPr>
          <w:p>
            <w:pPr>
              <w:spacing w:after="40" w:before="40"/>
            </w:pPr>
            <w:r/>
            <w:r>
              <w:rPr>
                <w:b/>
                <w:color w:val="FFFFFF"/>
                <w:sz w:val="21"/>
              </w:rPr>
              <w:t>Thay đổi cần thiết</w:t>
            </w:r>
          </w:p>
        </w:tc>
      </w:tr>
      <w:tr>
        <w:tc>
          <w:tcPr>
            <w:tcW w:type="dxa" w:w="2835"/>
          </w:tcPr>
          <w:p>
            <w:pPr>
              <w:spacing w:after="40" w:before="40"/>
            </w:pPr>
            <w:r/>
            <w:r>
              <w:rPr>
                <w:b w:val="0"/>
                <w:sz w:val="21"/>
              </w:rPr>
              <w:t>1.1 — Nguồn dữ liệu</w:t>
            </w:r>
          </w:p>
        </w:tc>
        <w:tc>
          <w:tcPr>
            <w:tcW w:type="dxa" w:w="6236"/>
          </w:tcPr>
          <w:p>
            <w:pPr>
              <w:spacing w:after="40" w:before="40"/>
            </w:pPr>
            <w:r/>
            <w:r>
              <w:rPr>
                <w:b w:val="0"/>
                <w:sz w:val="21"/>
              </w:rPr>
              <w:t>Thay Bundesliga 2023/24 + UCL bằng Big-5 2015/16; bổ sung nguồn kiểm chứng Wyscout</w:t>
            </w:r>
          </w:p>
        </w:tc>
      </w:tr>
      <w:tr>
        <w:tc>
          <w:tcPr>
            <w:tcW w:type="dxa" w:w="2835"/>
            <w:shd w:val="clear" w:color="auto" w:fill="EEF2F8"/>
          </w:tcPr>
          <w:p>
            <w:pPr>
              <w:spacing w:after="40" w:before="40"/>
            </w:pPr>
            <w:r/>
            <w:r>
              <w:rPr>
                <w:b w:val="0"/>
                <w:sz w:val="21"/>
              </w:rPr>
              <w:t>1.4 — Lưu trữ dữ liệu thô</w:t>
            </w:r>
          </w:p>
        </w:tc>
        <w:tc>
          <w:tcPr>
            <w:tcW w:type="dxa" w:w="6236"/>
            <w:shd w:val="clear" w:color="auto" w:fill="EEF2F8"/>
          </w:tcPr>
          <w:p>
            <w:pPr>
              <w:spacing w:after="40" w:before="40"/>
            </w:pPr>
            <w:r/>
            <w:r>
              <w:rPr>
                <w:b w:val="0"/>
                <w:sz w:val="21"/>
              </w:rPr>
              <w:t>Tách data/raw/ thành hai nhánh theo nhà cung cấp</w:t>
            </w:r>
          </w:p>
        </w:tc>
      </w:tr>
      <w:tr>
        <w:tc>
          <w:tcPr>
            <w:tcW w:type="dxa" w:w="2835"/>
          </w:tcPr>
          <w:p>
            <w:pPr>
              <w:spacing w:after="40" w:before="40"/>
            </w:pPr>
            <w:r/>
            <w:r>
              <w:rPr>
                <w:b w:val="0"/>
                <w:sz w:val="21"/>
              </w:rPr>
              <w:t>2.1 — Trích possession</w:t>
            </w:r>
          </w:p>
        </w:tc>
        <w:tc>
          <w:tcPr>
            <w:tcW w:type="dxa" w:w="6236"/>
          </w:tcPr>
          <w:p>
            <w:pPr>
              <w:spacing w:after="40" w:before="40"/>
            </w:pPr>
            <w:r/>
            <w:r>
              <w:rPr>
                <w:b w:val="0"/>
                <w:sz w:val="21"/>
              </w:rPr>
              <w:t>Phải viết được hai đường vào: dùng possession sẵn có với StatsBomb, tái tạo với Wyscout — cùng cho ra một cấu trúc chung</w:t>
            </w:r>
          </w:p>
        </w:tc>
      </w:tr>
      <w:tr>
        <w:tc>
          <w:tcPr>
            <w:tcW w:type="dxa" w:w="2835"/>
            <w:shd w:val="clear" w:color="auto" w:fill="EEF2F8"/>
          </w:tcPr>
          <w:p>
            <w:pPr>
              <w:spacing w:after="40" w:before="40"/>
            </w:pPr>
            <w:r/>
            <w:r>
              <w:rPr>
                <w:b w:val="0"/>
                <w:sz w:val="21"/>
              </w:rPr>
              <w:t>3.1 — Node feature</w:t>
            </w:r>
          </w:p>
        </w:tc>
        <w:tc>
          <w:tcPr>
            <w:tcW w:type="dxa" w:w="6236"/>
            <w:shd w:val="clear" w:color="auto" w:fill="EEF2F8"/>
          </w:tcPr>
          <w:p>
            <w:pPr>
              <w:spacing w:after="40" w:before="40"/>
            </w:pPr>
            <w:r/>
            <w:r>
              <w:rPr>
                <w:b w:val="0"/>
                <w:sz w:val="21"/>
              </w:rPr>
              <w:t>Cấm dùng player ID. Chỉ dùng vai trò/vị trí và thống kê trong possession (rủi ro R5)</w:t>
            </w:r>
          </w:p>
        </w:tc>
      </w:tr>
      <w:tr>
        <w:tc>
          <w:tcPr>
            <w:tcW w:type="dxa" w:w="2835"/>
          </w:tcPr>
          <w:p>
            <w:pPr>
              <w:spacing w:after="40" w:before="40"/>
            </w:pPr>
            <w:r/>
            <w:r>
              <w:rPr>
                <w:b w:val="0"/>
                <w:sz w:val="21"/>
              </w:rPr>
              <w:t>3.2 — Edge feature</w:t>
            </w:r>
          </w:p>
        </w:tc>
        <w:tc>
          <w:tcPr>
            <w:tcW w:type="dxa" w:w="6236"/>
          </w:tcPr>
          <w:p>
            <w:pPr>
              <w:spacing w:after="40" w:before="40"/>
            </w:pPr>
            <w:r/>
            <w:r>
              <w:rPr>
                <w:b w:val="0"/>
                <w:sz w:val="21"/>
              </w:rPr>
              <w:t>Chỉ dùng phần giao đặc trưng của hai nguồn (rủi ro R3)</w:t>
            </w:r>
          </w:p>
        </w:tc>
      </w:tr>
      <w:tr>
        <w:tc>
          <w:tcPr>
            <w:tcW w:type="dxa" w:w="2835"/>
            <w:shd w:val="clear" w:color="auto" w:fill="EEF2F8"/>
          </w:tcPr>
          <w:p>
            <w:pPr>
              <w:spacing w:after="40" w:before="40"/>
            </w:pPr>
            <w:r/>
            <w:r>
              <w:rPr>
                <w:b w:val="0"/>
                <w:sz w:val="21"/>
              </w:rPr>
              <w:t>4 — Chia tập dữ liệu</w:t>
            </w:r>
          </w:p>
        </w:tc>
        <w:tc>
          <w:tcPr>
            <w:tcW w:type="dxa" w:w="6236"/>
            <w:shd w:val="clear" w:color="auto" w:fill="EEF2F8"/>
          </w:tcPr>
          <w:p>
            <w:pPr>
              <w:spacing w:after="40" w:before="40"/>
            </w:pPr>
            <w:r/>
            <w:r>
              <w:rPr>
                <w:b w:val="0"/>
                <w:sz w:val="21"/>
              </w:rPr>
              <w:t>Chia theo trận chỉ trong dataset ①; dataset ② là tập kiểm chứng ngoài, không tham gia chia</w:t>
            </w:r>
          </w:p>
        </w:tc>
      </w:tr>
      <w:tr>
        <w:tc>
          <w:tcPr>
            <w:tcW w:type="dxa" w:w="2835"/>
          </w:tcPr>
          <w:p>
            <w:pPr>
              <w:spacing w:after="40" w:before="40"/>
            </w:pPr>
            <w:r/>
            <w:r>
              <w:rPr>
                <w:b w:val="0"/>
                <w:sz w:val="21"/>
              </w:rPr>
              <w:t>9.4 — Kiểm chứng Hybrid Centrality</w:t>
            </w:r>
          </w:p>
        </w:tc>
        <w:tc>
          <w:tcPr>
            <w:tcW w:type="dxa" w:w="6236"/>
          </w:tcPr>
          <w:p>
            <w:pPr>
              <w:spacing w:after="40" w:before="40"/>
            </w:pPr>
            <w:r/>
            <w:r>
              <w:rPr>
                <w:b w:val="0"/>
                <w:sz w:val="21"/>
              </w:rPr>
              <w:t>Tag key pass / assist lấy trực tiếp từ dataset ②, không cần nguồn thứ ba</w:t>
            </w:r>
          </w:p>
        </w:tc>
      </w:tr>
      <w:tr>
        <w:tc>
          <w:tcPr>
            <w:tcW w:type="dxa" w:w="2835"/>
            <w:shd w:val="clear" w:color="auto" w:fill="EEF2F8"/>
          </w:tcPr>
          <w:p>
            <w:pPr>
              <w:spacing w:after="40" w:before="40"/>
            </w:pPr>
            <w:r/>
            <w:r>
              <w:rPr>
                <w:b w:val="0"/>
                <w:sz w:val="21"/>
              </w:rPr>
              <w:t>10 — Kết quả đầu ra</w:t>
            </w:r>
          </w:p>
        </w:tc>
        <w:tc>
          <w:tcPr>
            <w:tcW w:type="dxa" w:w="6236"/>
            <w:shd w:val="clear" w:color="auto" w:fill="EEF2F8"/>
          </w:tcPr>
          <w:p>
            <w:pPr>
              <w:spacing w:after="40" w:before="40"/>
            </w:pPr>
            <w:r/>
            <w:r>
              <w:rPr>
                <w:b w:val="0"/>
                <w:sz w:val="21"/>
              </w:rPr>
              <w:t>Bổ sung một bảng mới: so sánh hiệu năng và thứ hạng Hybrid Centrality giữa hai nguồn</w:t>
            </w:r>
          </w:p>
        </w:tc>
      </w:tr>
    </w:tbl>
    <w:p>
      <w:pPr>
        <w:spacing w:after="80"/>
      </w:pPr>
    </w:p>
    <w:p>
      <w:pPr>
        <w:pStyle w:val="Heading1"/>
      </w:pPr>
      <w:r>
        <w:t>9. Kế hoạch kiểm chứng trước khi triển khai</w:t>
      </w:r>
    </w:p>
    <w:p>
      <w:pPr>
        <w:spacing w:after="120"/>
      </w:pPr>
      <w:r>
        <w:rPr>
          <w:b w:val="0"/>
          <w:i w:val="0"/>
          <w:sz w:val="24"/>
        </w:rPr>
        <w:t>Các con số trong tài liệu này được suy ra từ dung lượng file và từ đọc mẫu. Phải xác nhận lại bằng dữ liệu tải thật trước khi đưa vào khóa luận. Thực hiện trong notebook thăm dò, chưa cần viết pipeline.</w:t>
      </w:r>
    </w:p>
    <w:tbl>
      <w:tblPr>
        <w:tblStyle w:val="TableGrid"/>
        <w:tblW w:type="auto" w:w="0"/>
        <w:jc w:val="center"/>
        <w:tblLook w:firstColumn="1" w:firstRow="1" w:lastColumn="0" w:lastRow="0" w:noHBand="0" w:noVBand="1" w:val="04A0"/>
      </w:tblPr>
      <w:tblGrid>
        <w:gridCol w:w="3230"/>
        <w:gridCol w:w="3230"/>
        <w:gridCol w:w="3230"/>
      </w:tblGrid>
      <w:tr>
        <w:tc>
          <w:tcPr>
            <w:tcW w:type="dxa" w:w="567"/>
            <w:shd w:val="clear" w:color="auto" w:fill="1F3864"/>
          </w:tcPr>
          <w:p>
            <w:pPr>
              <w:spacing w:after="40" w:before="40"/>
            </w:pPr>
            <w:r/>
            <w:r>
              <w:rPr>
                <w:b/>
                <w:color w:val="FFFFFF"/>
                <w:sz w:val="21"/>
              </w:rPr>
              <w:t>#</w:t>
            </w:r>
          </w:p>
        </w:tc>
        <w:tc>
          <w:tcPr>
            <w:tcW w:type="dxa" w:w="4252"/>
            <w:shd w:val="clear" w:color="auto" w:fill="1F3864"/>
          </w:tcPr>
          <w:p>
            <w:pPr>
              <w:spacing w:after="40" w:before="40"/>
            </w:pPr>
            <w:r/>
            <w:r>
              <w:rPr>
                <w:b/>
                <w:color w:val="FFFFFF"/>
                <w:sz w:val="21"/>
              </w:rPr>
              <w:t>Việc cần làm</w:t>
            </w:r>
          </w:p>
        </w:tc>
        <w:tc>
          <w:tcPr>
            <w:tcW w:type="dxa" w:w="4252"/>
            <w:shd w:val="clear" w:color="auto" w:fill="1F3864"/>
          </w:tcPr>
          <w:p>
            <w:pPr>
              <w:spacing w:after="40" w:before="40"/>
            </w:pPr>
            <w:r/>
            <w:r>
              <w:rPr>
                <w:b/>
                <w:color w:val="FFFFFF"/>
                <w:sz w:val="21"/>
              </w:rPr>
              <w:t>Tiêu chí đạt</w:t>
            </w:r>
          </w:p>
        </w:tc>
      </w:tr>
      <w:tr>
        <w:tc>
          <w:tcPr>
            <w:tcW w:type="dxa" w:w="567"/>
          </w:tcPr>
          <w:p>
            <w:pPr>
              <w:spacing w:after="40" w:before="40"/>
            </w:pPr>
            <w:r/>
            <w:r>
              <w:rPr>
                <w:b w:val="0"/>
                <w:sz w:val="21"/>
              </w:rPr>
              <w:t>1</w:t>
            </w:r>
          </w:p>
        </w:tc>
        <w:tc>
          <w:tcPr>
            <w:tcW w:type="dxa" w:w="4252"/>
          </w:tcPr>
          <w:p>
            <w:pPr>
              <w:spacing w:after="40" w:before="40"/>
            </w:pPr>
            <w:r/>
            <w:r>
              <w:rPr>
                <w:b w:val="0"/>
                <w:sz w:val="21"/>
              </w:rPr>
              <w:t>Gọi statsbombpy.sb.matches() cho từng cặp competition_id / season_id ở mục 3.2</w:t>
            </w:r>
          </w:p>
        </w:tc>
        <w:tc>
          <w:tcPr>
            <w:tcW w:type="dxa" w:w="4252"/>
          </w:tcPr>
          <w:p>
            <w:pPr>
              <w:spacing w:after="40" w:before="40"/>
            </w:pPr>
            <w:r/>
            <w:r>
              <w:rPr>
                <w:b w:val="0"/>
                <w:sz w:val="21"/>
              </w:rPr>
              <w:t>Số trận khớp bảng, sai lệch không quá vài trận</w:t>
            </w:r>
          </w:p>
        </w:tc>
      </w:tr>
      <w:tr>
        <w:tc>
          <w:tcPr>
            <w:tcW w:type="dxa" w:w="567"/>
            <w:shd w:val="clear" w:color="auto" w:fill="EEF2F8"/>
          </w:tcPr>
          <w:p>
            <w:pPr>
              <w:spacing w:after="40" w:before="40"/>
            </w:pPr>
            <w:r/>
            <w:r>
              <w:rPr>
                <w:b w:val="0"/>
                <w:sz w:val="21"/>
              </w:rPr>
              <w:t>2</w:t>
            </w:r>
          </w:p>
        </w:tc>
        <w:tc>
          <w:tcPr>
            <w:tcW w:type="dxa" w:w="4252"/>
            <w:shd w:val="clear" w:color="auto" w:fill="EEF2F8"/>
          </w:tcPr>
          <w:p>
            <w:pPr>
              <w:spacing w:after="40" w:before="40"/>
            </w:pPr>
            <w:r/>
            <w:r>
              <w:rPr>
                <w:b w:val="0"/>
                <w:sz w:val="21"/>
              </w:rPr>
              <w:t>Lấy ngẫu nhiên 5 trận mỗi giải, kiểm tra sự tồn tại của possession, possession_team, pass.recipient</w:t>
            </w:r>
          </w:p>
        </w:tc>
        <w:tc>
          <w:tcPr>
            <w:tcW w:type="dxa" w:w="4252"/>
            <w:shd w:val="clear" w:color="auto" w:fill="EEF2F8"/>
          </w:tcPr>
          <w:p>
            <w:pPr>
              <w:spacing w:after="40" w:before="40"/>
            </w:pPr>
            <w:r/>
            <w:r>
              <w:rPr>
                <w:b w:val="0"/>
                <w:sz w:val="21"/>
              </w:rPr>
              <w:t>Có mặt ở 100% trận kiểm tra, không chỉ ở trận đã kiểm</w:t>
            </w:r>
          </w:p>
        </w:tc>
      </w:tr>
      <w:tr>
        <w:tc>
          <w:tcPr>
            <w:tcW w:type="dxa" w:w="567"/>
          </w:tcPr>
          <w:p>
            <w:pPr>
              <w:spacing w:after="40" w:before="40"/>
            </w:pPr>
            <w:r/>
            <w:r>
              <w:rPr>
                <w:b w:val="0"/>
                <w:sz w:val="21"/>
              </w:rPr>
              <w:t>3</w:t>
            </w:r>
          </w:p>
        </w:tc>
        <w:tc>
          <w:tcPr>
            <w:tcW w:type="dxa" w:w="4252"/>
          </w:tcPr>
          <w:p>
            <w:pPr>
              <w:spacing w:after="40" w:before="40"/>
            </w:pPr>
            <w:r/>
            <w:r>
              <w:rPr>
                <w:b w:val="0"/>
                <w:sz w:val="21"/>
              </w:rPr>
              <w:t>Thống kê mô tả: số possession/trận, phân phối độ dài chuỗi chuyền, tỉ lệ possession dẫn đến sút</w:t>
            </w:r>
          </w:p>
        </w:tc>
        <w:tc>
          <w:tcPr>
            <w:tcW w:type="dxa" w:w="4252"/>
          </w:tcPr>
          <w:p>
            <w:pPr>
              <w:spacing w:after="40" w:before="40"/>
            </w:pPr>
            <w:r/>
            <w:r>
              <w:rPr>
                <w:b w:val="0"/>
                <w:sz w:val="21"/>
              </w:rPr>
              <w:t>Có con số cụ thể — đây là đầu vào bắt buộc để chốt quyết định 0001 và đặt pos_weight trong configs/train.yaml</w:t>
            </w:r>
          </w:p>
        </w:tc>
      </w:tr>
      <w:tr>
        <w:tc>
          <w:tcPr>
            <w:tcW w:type="dxa" w:w="567"/>
            <w:shd w:val="clear" w:color="auto" w:fill="EEF2F8"/>
          </w:tcPr>
          <w:p>
            <w:pPr>
              <w:spacing w:after="40" w:before="40"/>
            </w:pPr>
            <w:r/>
            <w:r>
              <w:rPr>
                <w:b w:val="0"/>
                <w:sz w:val="21"/>
              </w:rPr>
              <w:t>4</w:t>
            </w:r>
          </w:p>
        </w:tc>
        <w:tc>
          <w:tcPr>
            <w:tcW w:type="dxa" w:w="4252"/>
            <w:shd w:val="clear" w:color="auto" w:fill="EEF2F8"/>
          </w:tcPr>
          <w:p>
            <w:pPr>
              <w:spacing w:after="40" w:before="40"/>
            </w:pPr>
            <w:r/>
            <w:r>
              <w:rPr>
                <w:b w:val="0"/>
                <w:sz w:val="21"/>
              </w:rPr>
              <w:t>Tải thử dataset ② bằng kloppy từ repo koenvo/…</w:t>
            </w:r>
          </w:p>
        </w:tc>
        <w:tc>
          <w:tcPr>
            <w:tcW w:type="dxa" w:w="4252"/>
            <w:shd w:val="clear" w:color="auto" w:fill="EEF2F8"/>
          </w:tcPr>
          <w:p>
            <w:pPr>
              <w:spacing w:after="40" w:before="40"/>
            </w:pPr>
            <w:r/>
            <w:r>
              <w:rPr>
                <w:b w:val="0"/>
                <w:sz w:val="21"/>
              </w:rPr>
              <w:t>Đọc được, đếm đúng 1.941 trận</w:t>
            </w:r>
          </w:p>
        </w:tc>
      </w:tr>
      <w:tr>
        <w:tc>
          <w:tcPr>
            <w:tcW w:type="dxa" w:w="567"/>
          </w:tcPr>
          <w:p>
            <w:pPr>
              <w:spacing w:after="40" w:before="40"/>
            </w:pPr>
            <w:r/>
            <w:r>
              <w:rPr>
                <w:b w:val="0"/>
                <w:sz w:val="21"/>
              </w:rPr>
              <w:t>5</w:t>
            </w:r>
          </w:p>
        </w:tc>
        <w:tc>
          <w:tcPr>
            <w:tcW w:type="dxa" w:w="4252"/>
          </w:tcPr>
          <w:p>
            <w:pPr>
              <w:spacing w:after="40" w:before="40"/>
            </w:pPr>
            <w:r/>
            <w:r>
              <w:rPr>
                <w:b w:val="0"/>
                <w:sz w:val="21"/>
              </w:rPr>
              <w:t>Chuyển thử 1 trận StatsBomb và 1 trận Wyscout sang SPADL bằng socceraction, so sánh tập đặc trưng còn lại sau khi lấy phần giao</w:t>
            </w:r>
          </w:p>
        </w:tc>
        <w:tc>
          <w:tcPr>
            <w:tcW w:type="dxa" w:w="4252"/>
          </w:tcPr>
          <w:p>
            <w:pPr>
              <w:spacing w:after="40" w:before="40"/>
            </w:pPr>
            <w:r/>
            <w:r>
              <w:rPr>
                <w:b w:val="0"/>
                <w:sz w:val="21"/>
              </w:rPr>
              <w:t>Đặc trưng cạnh còn lại đủ dùng cho Bước 3.2</w:t>
            </w:r>
          </w:p>
        </w:tc>
      </w:tr>
    </w:tbl>
    <w:p>
      <w:pPr>
        <w:spacing w:after="80"/>
      </w:pPr>
    </w:p>
    <w:tbl>
      <w:tblPr>
        <w:tblStyle w:val="TableGrid"/>
        <w:tblW w:type="auto" w:w="0"/>
        <w:tblLook w:firstColumn="1" w:firstRow="1" w:lastColumn="0" w:lastRow="0" w:noHBand="0" w:noVBand="1" w:val="04A0"/>
      </w:tblPr>
      <w:tblGrid>
        <w:gridCol w:w="9689"/>
      </w:tblGrid>
      <w:tr>
        <w:tc>
          <w:tcPr>
            <w:tcW w:type="dxa" w:w="9689"/>
            <w:shd w:val="clear" w:color="auto" w:fill="FFF6E5"/>
          </w:tcPr>
          <w:p>
            <w:pPr>
              <w:spacing w:after="40"/>
            </w:pPr>
            <w:r/>
            <w:r>
              <w:rPr>
                <w:b/>
                <w:sz w:val="22"/>
              </w:rPr>
              <w:t xml:space="preserve">Bước 5 là phép thử quyết định: </w:t>
            </w:r>
            <w:r>
              <w:rPr>
                <w:sz w:val="22"/>
              </w:rPr>
              <w:t>Đây là phép thử quyết định tính khả thi của toàn bộ phương án kiểm chứng chéo. Nên làm sớm nhất, trước khi đầu tư công sức vào các bước khác. Phương án dự phòng nếu thất bại: dùng dataset ② chỉ để kiểm chứng Hybrid Centrality ở mức xếp hạng cầu thủ — tính centrality truyền thống và các chỉ số đối chiếu trên nguồn ②, so sánh dạng phân phối và tương quan — thay vì chuyển cả mô hình dự đoán sang. Cách này vẫn giữ được giá trị kiểm chứng chéo nhưng ở mức yếu hơn.</w:t>
            </w:r>
          </w:p>
        </w:tc>
      </w:tr>
    </w:tbl>
    <w:p>
      <w:pPr>
        <w:spacing w:after="80"/>
      </w:pPr>
    </w:p>
    <w:p>
      <w:pPr>
        <w:pStyle w:val="Heading1"/>
      </w:pPr>
      <w:r>
        <w:t>10. Việc cần làm tiếp</w:t>
      </w:r>
    </w:p>
    <w:p>
      <w:pPr>
        <w:spacing w:after="60"/>
        <w:ind w:left="425"/>
      </w:pPr>
      <w:r>
        <w:rPr>
          <w:sz w:val="24"/>
        </w:rPr>
        <w:t xml:space="preserve">☐  </w:t>
      </w:r>
      <w:r>
        <w:rPr>
          <w:sz w:val="24"/>
        </w:rPr>
        <w:t>Chạy kiểm chứng 5 bước ở mục 9</w:t>
      </w:r>
    </w:p>
    <w:p>
      <w:pPr>
        <w:spacing w:after="60"/>
        <w:ind w:left="425"/>
      </w:pPr>
      <w:r>
        <w:rPr>
          <w:sz w:val="24"/>
        </w:rPr>
        <w:t xml:space="preserve">☐  </w:t>
      </w:r>
      <w:r>
        <w:rPr>
          <w:sz w:val="24"/>
        </w:rPr>
        <w:t>Cập nhật configs/data.yaml: thay khối competitions, bổ sung khối nguồn kiểm chứng</w:t>
      </w:r>
    </w:p>
    <w:p>
      <w:pPr>
        <w:spacing w:after="60"/>
        <w:ind w:left="425"/>
      </w:pPr>
      <w:r>
        <w:rPr>
          <w:sz w:val="24"/>
        </w:rPr>
        <w:t xml:space="preserve">☐  </w:t>
      </w:r>
      <w:r>
        <w:rPr>
          <w:sz w:val="24"/>
        </w:rPr>
        <w:t>Tạo docs/decisions/0003-lua-chon-nguon-du-lieu.md ghi lại quyết định này và lý do</w:t>
      </w:r>
    </w:p>
    <w:p>
      <w:pPr>
        <w:spacing w:after="60"/>
        <w:ind w:left="425"/>
      </w:pPr>
      <w:r>
        <w:rPr>
          <w:sz w:val="24"/>
        </w:rPr>
        <w:t xml:space="preserve">☐  </w:t>
      </w:r>
      <w:r>
        <w:rPr>
          <w:sz w:val="24"/>
        </w:rPr>
        <w:t>Cập nhật docs/decisions/0001-quy-tac-gan-nhan.md: quy tắc gán nhãn giờ phải áp dụng được cho cả hai nguồn, trong đó Wyscout không có possession sẵn</w:t>
      </w:r>
    </w:p>
    <w:p>
      <w:pPr>
        <w:spacing w:after="60"/>
        <w:ind w:left="425"/>
      </w:pPr>
      <w:r>
        <w:rPr>
          <w:sz w:val="24"/>
        </w:rPr>
        <w:t xml:space="preserve">☐  </w:t>
      </w:r>
      <w:r>
        <w:rPr>
          <w:sz w:val="24"/>
        </w:rPr>
        <w:t>Cập nhật data/README.md: hai nguồn, hai giấy phép, cấu trúc raw/ theo nhà cung cấp</w:t>
      </w:r>
    </w:p>
    <w:p>
      <w:pPr>
        <w:spacing w:after="60"/>
        <w:ind w:left="425"/>
      </w:pPr>
      <w:r>
        <w:rPr>
          <w:sz w:val="24"/>
        </w:rPr>
        <w:t xml:space="preserve">☐  </w:t>
      </w:r>
      <w:r>
        <w:rPr>
          <w:sz w:val="24"/>
        </w:rPr>
        <w:t>Cập nhật README.md mục nguồn dữ liệu</w:t>
      </w:r>
    </w:p>
    <w:p>
      <w:pPr>
        <w:spacing w:after="60"/>
        <w:ind w:left="425"/>
      </w:pPr>
      <w:r>
        <w:rPr>
          <w:sz w:val="24"/>
        </w:rPr>
        <w:t xml:space="preserve">☐  </w:t>
      </w:r>
      <w:r>
        <w:rPr>
          <w:sz w:val="24"/>
        </w:rPr>
        <w:t>Bổ sung socceraction và kloppy vào requirements.txt</w:t>
      </w:r>
    </w:p>
    <w:p>
      <w:pPr>
        <w:spacing w:after="60"/>
        <w:ind w:left="425"/>
      </w:pPr>
      <w:r>
        <w:rPr>
          <w:sz w:val="24"/>
        </w:rPr>
        <w:t xml:space="preserve">☐  </w:t>
      </w:r>
      <w:r>
        <w:rPr>
          <w:sz w:val="24"/>
        </w:rPr>
        <w:t>Trao đổi với giảng viên hướng dẫn (xem mục 11)</w:t>
      </w:r>
    </w:p>
    <w:p>
      <w:pPr>
        <w:pStyle w:val="Heading1"/>
      </w:pPr>
      <w:r>
        <w:t>11. Nội dung cần trao đổi với giảng viên</w:t>
      </w:r>
    </w:p>
    <w:p>
      <w:pPr>
        <w:spacing w:after="120"/>
      </w:pPr>
      <w:r>
        <w:rPr>
          <w:b w:val="0"/>
          <w:i w:val="0"/>
          <w:sz w:val="24"/>
        </w:rPr>
        <w:t>Đề xuất trình bày theo ba ý, kèm bằng chứng cụ thể.</w:t>
      </w:r>
    </w:p>
    <w:p>
      <w:pPr>
        <w:pStyle w:val="Heading3"/>
      </w:pPr>
      <w:r>
        <w:t>Ý 1 — Vì sao phải đổi</w:t>
      </w:r>
    </w:p>
    <w:p>
      <w:pPr>
        <w:spacing w:after="120"/>
      </w:pPr>
      <w:r>
        <w:rPr>
          <w:b w:val="0"/>
          <w:i w:val="0"/>
          <w:sz w:val="24"/>
        </w:rPr>
        <w:t>Trình bày bảng ở mục 1.1 với đường dẫn file và dung lượng cụ thể. Nhấn mạnh đây là giới hạn của kho dữ liệu, không phải lựa chọn của nhóm, và phát hiện được nhờ kiểm chứng trực tiếp trước khi bắt tay vào viết mã — nếu phát hiện muộn hơn sẽ phải làm lại từ đầu.</w:t>
      </w:r>
    </w:p>
    <w:p>
      <w:pPr>
        <w:pStyle w:val="Heading3"/>
      </w:pPr>
      <w:r>
        <w:t>Ý 2 — Đổi ít nhất có thể</w:t>
      </w:r>
    </w:p>
    <w:p>
      <w:pPr>
        <w:spacing w:after="120"/>
      </w:pPr>
      <w:r>
        <w:rPr>
          <w:b w:val="0"/>
          <w:i w:val="0"/>
          <w:sz w:val="24"/>
        </w:rPr>
        <w:t>Vẫn giữ nguyên nhà cung cấp StatsBomb đã báo cáo, chỉ đổi giải đấu và mùa. Toàn bộ phương pháp, bộ độ đo và chiến lược đối sánh ba tầng ở mục 1.2 và 1.3 của báo cáo trước giữ nguyên không thay đổi.</w:t>
      </w:r>
    </w:p>
    <w:p>
      <w:pPr>
        <w:pStyle w:val="Heading3"/>
      </w:pPr>
      <w:r>
        <w:t>Ý 3 — Việc đổi làm mạnh thêm đề tài</w:t>
      </w:r>
    </w:p>
    <w:p>
      <w:pPr>
        <w:spacing w:after="120"/>
      </w:pPr>
      <w:r>
        <w:rPr>
          <w:b w:val="0"/>
          <w:i w:val="0"/>
          <w:sz w:val="24"/>
        </w:rPr>
        <w:t>Kế hoạch cũ chỉ có một nguồn dữ liệu. Kế hoạch mới bổ sung một trục đóng góp mà trước đó không có: kiểm chứng khả năng khái quát hóa qua hai nhà cung cấp độc lập, trong đó nguồn thứ hai là bộ dữ liệu đã qua bình duyệt tại Nature Scientific Data. Đây là câu trả lời sẵn cho câu hỏi về tính khái quát mà hội đồng nhiều khả năng sẽ đặt ra.</w:t>
      </w:r>
    </w:p>
    <w:tbl>
      <w:tblPr>
        <w:tblStyle w:val="TableGrid"/>
        <w:tblW w:type="auto" w:w="0"/>
        <w:tblLook w:firstColumn="1" w:firstRow="1" w:lastColumn="0" w:lastRow="0" w:noHBand="0" w:noVBand="1" w:val="04A0"/>
      </w:tblPr>
      <w:tblGrid>
        <w:gridCol w:w="9689"/>
      </w:tblGrid>
      <w:tr>
        <w:tc>
          <w:tcPr>
            <w:tcW w:type="dxa" w:w="9689"/>
            <w:shd w:val="clear" w:color="auto" w:fill="FFF6E5"/>
          </w:tcPr>
          <w:p>
            <w:pPr>
              <w:spacing w:after="40"/>
            </w:pPr>
            <w:r/>
            <w:r>
              <w:rPr>
                <w:b/>
                <w:sz w:val="22"/>
              </w:rPr>
              <w:t xml:space="preserve">Phương án dự phòng: </w:t>
            </w:r>
            <w:r>
              <w:rPr>
                <w:sz w:val="22"/>
              </w:rPr>
              <w:t>Nếu thầy muốn giữ Bundesliga, nêu phương án dùng Wyscout Bundesliga 2017/18 (306 trận đầy đủ) làm nguồn chính thay vì StatsBomb — đổi mùa giải thay vì đổi giải đấu.</w:t>
            </w:r>
          </w:p>
        </w:tc>
      </w:tr>
    </w:tbl>
    <w:p>
      <w:pPr>
        <w:spacing w:after="80"/>
      </w:pPr>
    </w:p>
    <w:p>
      <w:pPr>
        <w:pStyle w:val="Heading1"/>
      </w:pPr>
      <w:r>
        <w:t>12. Nhật ký kiểm chứng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247"/>
            <w:shd w:val="clear" w:color="auto" w:fill="1F3864"/>
          </w:tcPr>
          <w:p>
            <w:pPr>
              <w:spacing w:after="40" w:before="40"/>
            </w:pPr>
            <w:r/>
            <w:r>
              <w:rPr>
                <w:b/>
                <w:color w:val="FFFFFF"/>
                <w:sz w:val="21"/>
              </w:rPr>
              <w:t>Ngày</w:t>
            </w:r>
          </w:p>
        </w:tc>
        <w:tc>
          <w:tcPr>
            <w:tcW w:type="dxa" w:w="2835"/>
            <w:shd w:val="clear" w:color="auto" w:fill="1F3864"/>
          </w:tcPr>
          <w:p>
            <w:pPr>
              <w:spacing w:after="40" w:before="40"/>
            </w:pPr>
            <w:r/>
            <w:r>
              <w:rPr>
                <w:b/>
                <w:color w:val="FFFFFF"/>
                <w:sz w:val="21"/>
              </w:rPr>
              <w:t>Nội dung kiểm chứng</w:t>
            </w:r>
          </w:p>
        </w:tc>
        <w:tc>
          <w:tcPr>
            <w:tcW w:type="dxa" w:w="2438"/>
            <w:shd w:val="clear" w:color="auto" w:fill="1F3864"/>
          </w:tcPr>
          <w:p>
            <w:pPr>
              <w:spacing w:after="40" w:before="40"/>
            </w:pPr>
            <w:r/>
            <w:r>
              <w:rPr>
                <w:b/>
                <w:color w:val="FFFFFF"/>
                <w:sz w:val="21"/>
              </w:rPr>
              <w:t>Nguồn</w:t>
            </w:r>
          </w:p>
        </w:tc>
        <w:tc>
          <w:tcPr>
            <w:tcW w:type="dxa" w:w="2551"/>
            <w:shd w:val="clear" w:color="auto" w:fill="1F3864"/>
          </w:tcPr>
          <w:p>
            <w:pPr>
              <w:spacing w:after="40" w:before="40"/>
            </w:pPr>
            <w:r/>
            <w:r>
              <w:rPr>
                <w:b/>
                <w:color w:val="FFFFFF"/>
                <w:sz w:val="21"/>
              </w:rPr>
              <w:t>Kết quả</w:t>
            </w:r>
          </w:p>
        </w:tc>
      </w:tr>
      <w:tr>
        <w:tc>
          <w:tcPr>
            <w:tcW w:type="dxa" w:w="1247"/>
          </w:tcPr>
          <w:p>
            <w:pPr>
              <w:spacing w:after="40" w:before="40"/>
            </w:pPr>
            <w:r/>
            <w:r>
              <w:rPr>
                <w:b w:val="0"/>
                <w:sz w:val="21"/>
              </w:rPr>
              <w:t>04/09/2026</w:t>
            </w:r>
          </w:p>
        </w:tc>
        <w:tc>
          <w:tcPr>
            <w:tcW w:type="dxa" w:w="2835"/>
          </w:tcPr>
          <w:p>
            <w:pPr>
              <w:spacing w:after="40" w:before="40"/>
            </w:pPr>
            <w:r/>
            <w:r>
              <w:rPr>
                <w:b w:val="0"/>
                <w:sz w:val="21"/>
              </w:rPr>
              <w:t>Danh sách giải – mùa trong StatsBomb Open Data</w:t>
            </w:r>
          </w:p>
        </w:tc>
        <w:tc>
          <w:tcPr>
            <w:tcW w:type="dxa" w:w="2438"/>
          </w:tcPr>
          <w:p>
            <w:pPr>
              <w:spacing w:after="40" w:before="40"/>
            </w:pPr>
            <w:r/>
            <w:r>
              <w:rPr>
                <w:b w:val="0"/>
                <w:sz w:val="21"/>
              </w:rPr>
              <w:t>data/competitions.json</w:t>
            </w:r>
          </w:p>
        </w:tc>
        <w:tc>
          <w:tcPr>
            <w:tcW w:type="dxa" w:w="2551"/>
          </w:tcPr>
          <w:p>
            <w:pPr>
              <w:spacing w:after="40" w:before="40"/>
            </w:pPr>
            <w:r/>
            <w:r>
              <w:rPr>
                <w:b w:val="0"/>
                <w:sz w:val="21"/>
              </w:rPr>
              <w:t>81 cặp giải – mùa</w:t>
            </w:r>
          </w:p>
        </w:tc>
      </w:tr>
      <w:tr>
        <w:tc>
          <w:tcPr>
            <w:tcW w:type="dxa" w:w="1247"/>
            <w:shd w:val="clear" w:color="auto" w:fill="EEF2F8"/>
          </w:tcPr>
          <w:p>
            <w:pPr>
              <w:spacing w:after="40" w:before="40"/>
            </w:pPr>
            <w:r/>
            <w:r>
              <w:rPr>
                <w:b w:val="0"/>
                <w:sz w:val="21"/>
              </w:rPr>
              <w:t>04/09/2026</w:t>
            </w:r>
          </w:p>
        </w:tc>
        <w:tc>
          <w:tcPr>
            <w:tcW w:type="dxa" w:w="2835"/>
            <w:shd w:val="clear" w:color="auto" w:fill="EEF2F8"/>
          </w:tcPr>
          <w:p>
            <w:pPr>
              <w:spacing w:after="40" w:before="40"/>
            </w:pPr>
            <w:r/>
            <w:r>
              <w:rPr>
                <w:b w:val="0"/>
                <w:sz w:val="21"/>
              </w:rPr>
              <w:t>Số trận Bundesliga 2023/24</w:t>
            </w:r>
          </w:p>
        </w:tc>
        <w:tc>
          <w:tcPr>
            <w:tcW w:type="dxa" w:w="2438"/>
            <w:shd w:val="clear" w:color="auto" w:fill="EEF2F8"/>
          </w:tcPr>
          <w:p>
            <w:pPr>
              <w:spacing w:after="40" w:before="40"/>
            </w:pPr>
            <w:r/>
            <w:r>
              <w:rPr>
                <w:b w:val="0"/>
                <w:sz w:val="21"/>
              </w:rPr>
              <w:t>data/matches/9/281.json</w:t>
            </w:r>
          </w:p>
        </w:tc>
        <w:tc>
          <w:tcPr>
            <w:tcW w:type="dxa" w:w="2551"/>
            <w:shd w:val="clear" w:color="auto" w:fill="EEF2F8"/>
          </w:tcPr>
          <w:p>
            <w:pPr>
              <w:spacing w:after="40" w:before="40"/>
            </w:pPr>
            <w:r/>
            <w:r>
              <w:rPr>
                <w:b w:val="0"/>
                <w:sz w:val="21"/>
              </w:rPr>
              <w:t>34 trận, chỉ Bayer Leverkusen</w:t>
            </w:r>
          </w:p>
        </w:tc>
      </w:tr>
      <w:tr>
        <w:tc>
          <w:tcPr>
            <w:tcW w:type="dxa" w:w="1247"/>
          </w:tcPr>
          <w:p>
            <w:pPr>
              <w:spacing w:after="40" w:before="40"/>
            </w:pPr>
            <w:r/>
            <w:r>
              <w:rPr>
                <w:b w:val="0"/>
                <w:sz w:val="21"/>
              </w:rPr>
              <w:t>04/09/2026</w:t>
            </w:r>
          </w:p>
        </w:tc>
        <w:tc>
          <w:tcPr>
            <w:tcW w:type="dxa" w:w="2835"/>
          </w:tcPr>
          <w:p>
            <w:pPr>
              <w:spacing w:after="40" w:before="40"/>
            </w:pPr>
            <w:r/>
            <w:r>
              <w:rPr>
                <w:b w:val="0"/>
                <w:sz w:val="21"/>
              </w:rPr>
              <w:t>Số trận UEFA Champions League 2018/19</w:t>
            </w:r>
          </w:p>
        </w:tc>
        <w:tc>
          <w:tcPr>
            <w:tcW w:type="dxa" w:w="2438"/>
          </w:tcPr>
          <w:p>
            <w:pPr>
              <w:spacing w:after="40" w:before="40"/>
            </w:pPr>
            <w:r/>
            <w:r>
              <w:rPr>
                <w:b w:val="0"/>
                <w:sz w:val="21"/>
              </w:rPr>
              <w:t>data/matches/16/4.json</w:t>
            </w:r>
          </w:p>
        </w:tc>
        <w:tc>
          <w:tcPr>
            <w:tcW w:type="dxa" w:w="2551"/>
          </w:tcPr>
          <w:p>
            <w:pPr>
              <w:spacing w:after="40" w:before="40"/>
            </w:pPr>
            <w:r/>
            <w:r>
              <w:rPr>
                <w:b w:val="0"/>
                <w:sz w:val="21"/>
              </w:rPr>
              <w:t>1 trận, competition_stage = Final</w:t>
            </w:r>
          </w:p>
        </w:tc>
      </w:tr>
      <w:tr>
        <w:tc>
          <w:tcPr>
            <w:tcW w:type="dxa" w:w="1247"/>
            <w:shd w:val="clear" w:color="auto" w:fill="EEF2F8"/>
          </w:tcPr>
          <w:p>
            <w:pPr>
              <w:spacing w:after="40" w:before="40"/>
            </w:pPr>
            <w:r/>
            <w:r>
              <w:rPr>
                <w:b w:val="0"/>
                <w:sz w:val="21"/>
              </w:rPr>
              <w:t>04/09/2026</w:t>
            </w:r>
          </w:p>
        </w:tc>
        <w:tc>
          <w:tcPr>
            <w:tcW w:type="dxa" w:w="2835"/>
            <w:shd w:val="clear" w:color="auto" w:fill="EEF2F8"/>
          </w:tcPr>
          <w:p>
            <w:pPr>
              <w:spacing w:after="40" w:before="40"/>
            </w:pPr>
            <w:r/>
            <w:r>
              <w:rPr>
                <w:b w:val="0"/>
                <w:sz w:val="21"/>
              </w:rPr>
              <w:t>Dung lượng file matches của Big-5 mùa 2015/16</w:t>
            </w:r>
          </w:p>
        </w:tc>
        <w:tc>
          <w:tcPr>
            <w:tcW w:type="dxa" w:w="2438"/>
            <w:shd w:val="clear" w:color="auto" w:fill="EEF2F8"/>
          </w:tcPr>
          <w:p>
            <w:pPr>
              <w:spacing w:after="40" w:before="40"/>
            </w:pPr>
            <w:r/>
            <w:r>
              <w:rPr>
                <w:b w:val="0"/>
                <w:sz w:val="21"/>
              </w:rPr>
              <w:t>GitHub Contents API</w:t>
            </w:r>
          </w:p>
        </w:tc>
        <w:tc>
          <w:tcPr>
            <w:tcW w:type="dxa" w:w="2551"/>
            <w:shd w:val="clear" w:color="auto" w:fill="EEF2F8"/>
          </w:tcPr>
          <w:p>
            <w:pPr>
              <w:spacing w:after="40" w:before="40"/>
            </w:pPr>
            <w:r/>
            <w:r>
              <w:rPr>
                <w:b w:val="0"/>
                <w:sz w:val="21"/>
              </w:rPr>
              <w:t>Bundesliga 61.666 B; bốn giải còn lại 667–702 KB</w:t>
            </w:r>
          </w:p>
        </w:tc>
      </w:tr>
      <w:tr>
        <w:tc>
          <w:tcPr>
            <w:tcW w:type="dxa" w:w="1247"/>
          </w:tcPr>
          <w:p>
            <w:pPr>
              <w:spacing w:after="40" w:before="40"/>
            </w:pPr>
            <w:r/>
            <w:r>
              <w:rPr>
                <w:b w:val="0"/>
                <w:sz w:val="21"/>
              </w:rPr>
              <w:t>04/09/2026</w:t>
            </w:r>
          </w:p>
        </w:tc>
        <w:tc>
          <w:tcPr>
            <w:tcW w:type="dxa" w:w="2835"/>
          </w:tcPr>
          <w:p>
            <w:pPr>
              <w:spacing w:after="40" w:before="40"/>
            </w:pPr>
            <w:r/>
            <w:r>
              <w:rPr>
                <w:b w:val="0"/>
                <w:sz w:val="21"/>
              </w:rPr>
              <w:t>Sự tồn tại của possession trong dữ liệu 2015/16</w:t>
            </w:r>
          </w:p>
        </w:tc>
        <w:tc>
          <w:tcPr>
            <w:tcW w:type="dxa" w:w="2438"/>
          </w:tcPr>
          <w:p>
            <w:pPr>
              <w:spacing w:after="40" w:before="40"/>
            </w:pPr>
            <w:r/>
            <w:r>
              <w:rPr>
                <w:b w:val="0"/>
                <w:sz w:val="21"/>
              </w:rPr>
              <w:t>data/events/3754217.json</w:t>
            </w:r>
          </w:p>
        </w:tc>
        <w:tc>
          <w:tcPr>
            <w:tcW w:type="dxa" w:w="2551"/>
          </w:tcPr>
          <w:p>
            <w:pPr>
              <w:spacing w:after="40" w:before="40"/>
            </w:pPr>
            <w:r/>
            <w:r>
              <w:rPr>
                <w:b w:val="0"/>
                <w:sz w:val="21"/>
              </w:rPr>
              <w:t>Có possession, possession_team, play_pattern, pass.recipient</w:t>
            </w:r>
          </w:p>
        </w:tc>
      </w:tr>
      <w:tr>
        <w:tc>
          <w:tcPr>
            <w:tcW w:type="dxa" w:w="1247"/>
            <w:shd w:val="clear" w:color="auto" w:fill="EEF2F8"/>
          </w:tcPr>
          <w:p>
            <w:pPr>
              <w:spacing w:after="40" w:before="40"/>
            </w:pPr>
            <w:r/>
            <w:r>
              <w:rPr>
                <w:b w:val="0"/>
                <w:sz w:val="21"/>
              </w:rPr>
              <w:t>04/09/2026</w:t>
            </w:r>
          </w:p>
        </w:tc>
        <w:tc>
          <w:tcPr>
            <w:tcW w:type="dxa" w:w="2835"/>
            <w:shd w:val="clear" w:color="auto" w:fill="EEF2F8"/>
          </w:tcPr>
          <w:p>
            <w:pPr>
              <w:spacing w:after="40" w:before="40"/>
            </w:pPr>
            <w:r/>
            <w:r>
              <w:rPr>
                <w:b w:val="0"/>
                <w:sz w:val="21"/>
              </w:rPr>
              <w:t>Quy mô và quy trình xác thực bộ Wyscout</w:t>
            </w:r>
          </w:p>
        </w:tc>
        <w:tc>
          <w:tcPr>
            <w:tcW w:type="dxa" w:w="2438"/>
            <w:shd w:val="clear" w:color="auto" w:fill="EEF2F8"/>
          </w:tcPr>
          <w:p>
            <w:pPr>
              <w:spacing w:after="40" w:before="40"/>
            </w:pPr>
            <w:r/>
            <w:r>
              <w:rPr>
                <w:b w:val="0"/>
                <w:sz w:val="21"/>
              </w:rPr>
              <w:t>Pappalardo et al. 2019, PMC6817871</w:t>
            </w:r>
          </w:p>
        </w:tc>
        <w:tc>
          <w:tcPr>
            <w:tcW w:type="dxa" w:w="2551"/>
            <w:shd w:val="clear" w:color="auto" w:fill="EEF2F8"/>
          </w:tcPr>
          <w:p>
            <w:pPr>
              <w:spacing w:after="40" w:before="40"/>
            </w:pPr>
            <w:r/>
            <w:r>
              <w:rPr>
                <w:b w:val="0"/>
                <w:sz w:val="21"/>
              </w:rPr>
              <w:t>1.941 trận / 3.251.294 event / 4.299 cầu thủ; xác thực 4 tầng</w:t>
            </w:r>
          </w:p>
        </w:tc>
      </w:tr>
      <w:tr>
        <w:tc>
          <w:tcPr>
            <w:tcW w:type="dxa" w:w="1247"/>
          </w:tcPr>
          <w:p>
            <w:pPr>
              <w:spacing w:after="40" w:before="40"/>
            </w:pPr>
            <w:r/>
            <w:r>
              <w:rPr>
                <w:b w:val="0"/>
                <w:sz w:val="21"/>
              </w:rPr>
              <w:t>04/09/2026</w:t>
            </w:r>
          </w:p>
        </w:tc>
        <w:tc>
          <w:tcPr>
            <w:tcW w:type="dxa" w:w="2835"/>
          </w:tcPr>
          <w:p>
            <w:pPr>
              <w:spacing w:after="40" w:before="40"/>
            </w:pPr>
            <w:r/>
            <w:r>
              <w:rPr>
                <w:b w:val="0"/>
                <w:sz w:val="21"/>
              </w:rPr>
              <w:t>Phân bố số trận theo giải của bộ Wyscout</w:t>
            </w:r>
          </w:p>
        </w:tc>
        <w:tc>
          <w:tcPr>
            <w:tcW w:type="dxa" w:w="2438"/>
          </w:tcPr>
          <w:p>
            <w:pPr>
              <w:spacing w:after="40" w:before="40"/>
            </w:pPr>
            <w:r/>
            <w:r>
              <w:rPr>
                <w:b w:val="0"/>
                <w:sz w:val="21"/>
              </w:rPr>
              <w:t>koenvo/wyscout-soccer-match-event-dataset</w:t>
            </w:r>
          </w:p>
        </w:tc>
        <w:tc>
          <w:tcPr>
            <w:tcW w:type="dxa" w:w="2551"/>
          </w:tcPr>
          <w:p>
            <w:pPr>
              <w:spacing w:after="40" w:before="40"/>
            </w:pPr>
            <w:r/>
            <w:r>
              <w:rPr>
                <w:b w:val="0"/>
                <w:sz w:val="21"/>
              </w:rPr>
              <w:t>380×4 + 306 + 64 + 51 = 1.941 ✓</w:t>
            </w:r>
          </w:p>
        </w:tc>
      </w:tr>
    </w:tbl>
    <w:p>
      <w:pPr>
        <w:spacing w:after="80"/>
      </w:pPr>
    </w:p>
    <w:p>
      <w:pPr>
        <w:pStyle w:val="Heading1"/>
      </w:pPr>
      <w:r>
        <w:t>Nguồn tham khảo</w:t>
      </w:r>
    </w:p>
    <w:p>
      <w:pPr>
        <w:pStyle w:val="Heading3"/>
      </w:pPr>
      <w:r>
        <w:t>Bộ dữ liệu</w:t>
      </w:r>
    </w:p>
    <w:p>
      <w:pPr>
        <w:pStyle w:val="ListBullet"/>
        <w:spacing w:after="60"/>
        <w:ind w:left="425"/>
      </w:pPr>
      <w:r>
        <w:rPr>
          <w:sz w:val="24"/>
        </w:rPr>
        <w:t>StatsBomb Open Data — https://github.com/statsbomb/open-data</w:t>
      </w:r>
    </w:p>
    <w:p>
      <w:pPr>
        <w:pStyle w:val="ListBullet"/>
        <w:spacing w:after="60"/>
        <w:ind w:left="425"/>
      </w:pPr>
      <w:r>
        <w:rPr>
          <w:sz w:val="24"/>
        </w:rPr>
        <w:t>Danh sách giải – mùa — https://github.com/statsbomb/open-data/blob/master/data/competitions.json</w:t>
      </w:r>
    </w:p>
    <w:p>
      <w:pPr>
        <w:pStyle w:val="ListBullet"/>
        <w:spacing w:after="60"/>
        <w:ind w:left="425"/>
      </w:pPr>
      <w:r>
        <w:rPr>
          <w:sz w:val="24"/>
        </w:rPr>
        <w:t>Pappalardo et al. (2019), Scientific Data 6:236 — https://pmc.ncbi.nlm.nih.gov/articles/PMC6817871/</w:t>
      </w:r>
    </w:p>
    <w:p>
      <w:pPr>
        <w:pStyle w:val="ListBullet"/>
        <w:spacing w:after="60"/>
        <w:ind w:left="425"/>
      </w:pPr>
      <w:r>
        <w:rPr>
          <w:sz w:val="24"/>
        </w:rPr>
        <w:t>Wyscout dataset trên figshare — https://figshare.com/collections/Soccer_match_event_dataset/4415000</w:t>
      </w:r>
    </w:p>
    <w:p>
      <w:pPr>
        <w:pStyle w:val="ListBullet"/>
        <w:spacing w:after="60"/>
        <w:ind w:left="425"/>
      </w:pPr>
      <w:r>
        <w:rPr>
          <w:sz w:val="24"/>
        </w:rPr>
        <w:t>Bản chuyển đổi cho kloppy — https://github.com/koenvo/wyscout-soccer-match-event-dataset</w:t>
      </w:r>
    </w:p>
    <w:p>
      <w:pPr>
        <w:pStyle w:val="Heading3"/>
      </w:pPr>
      <w:r>
        <w:t>Công cụ</w:t>
      </w:r>
    </w:p>
    <w:p>
      <w:pPr>
        <w:pStyle w:val="ListBullet"/>
        <w:spacing w:after="60"/>
        <w:ind w:left="425"/>
      </w:pPr>
      <w:r>
        <w:rPr>
          <w:sz w:val="24"/>
        </w:rPr>
        <w:t>statsbombpy — https://github.com/statsbomb/statsbombpy</w:t>
      </w:r>
    </w:p>
    <w:p>
      <w:pPr>
        <w:pStyle w:val="ListBullet"/>
        <w:spacing w:after="60"/>
        <w:ind w:left="425"/>
      </w:pPr>
      <w:r>
        <w:rPr>
          <w:sz w:val="24"/>
        </w:rPr>
        <w:t>socceraction / SPADL — https://github.com/ML-KULeuven/socceraction</w:t>
      </w:r>
    </w:p>
    <w:p>
      <w:pPr>
        <w:pStyle w:val="ListBullet"/>
        <w:spacing w:after="60"/>
        <w:ind w:left="425"/>
      </w:pPr>
      <w:r>
        <w:rPr>
          <w:sz w:val="24"/>
        </w:rPr>
        <w:t>kloppy — https://github.com/PySport/kloppy</w:t>
      </w:r>
    </w:p>
    <w:p>
      <w:pPr>
        <w:pStyle w:val="Heading3"/>
      </w:pPr>
      <w:r>
        <w:t>Đã xét và loại</w:t>
      </w:r>
    </w:p>
    <w:p>
      <w:pPr>
        <w:pStyle w:val="ListBullet"/>
        <w:spacing w:after="60"/>
        <w:ind w:left="425"/>
      </w:pPr>
      <w:r>
        <w:rPr>
          <w:sz w:val="24"/>
        </w:rPr>
        <w:t>Bassek et al. (2025), Scientific Data — https://www.nature.com/articles/s41597-025-04505-y</w:t>
      </w:r>
    </w:p>
    <w:p>
      <w:pPr>
        <w:pStyle w:val="ListBullet"/>
        <w:spacing w:after="60"/>
        <w:ind w:left="425"/>
      </w:pPr>
      <w:r>
        <w:rPr>
          <w:sz w:val="24"/>
        </w:rPr>
        <w:t>PFF FC World Cup 2022 — https://www.blog.fc.pff.com/blog/pff-fc-release-2022-world-cup-data</w:t>
      </w:r>
    </w:p>
    <w:p>
      <w:pPr>
        <w:pStyle w:val="ListBullet"/>
        <w:spacing w:after="60"/>
        <w:ind w:left="425"/>
      </w:pPr>
      <w:r>
        <w:rPr>
          <w:sz w:val="24"/>
        </w:rPr>
        <w:t>SkillCorner Open Data — https://github.com/SkillCorner/opendata</w:t>
      </w:r>
    </w:p>
    <w:p>
      <w:pPr>
        <w:pStyle w:val="ListBullet"/>
        <w:spacing w:after="60"/>
        <w:ind w:left="425"/>
      </w:pPr>
      <w:r>
        <w:rPr>
          <w:sz w:val="24"/>
        </w:rPr>
        <w:t>Metrica Sports Sample Data — https://github.com/metrica-sports/sample-data</w:t>
      </w:r>
    </w:p>
    <w:p>
      <w:pPr>
        <w:pStyle w:val="Heading3"/>
      </w:pPr>
      <w:r>
        <w:t>Tham khảo tổng hợp</w:t>
      </w:r>
    </w:p>
    <w:p>
      <w:pPr>
        <w:pStyle w:val="ListBullet"/>
        <w:spacing w:after="60"/>
        <w:ind w:left="425"/>
      </w:pPr>
      <w:r>
        <w:rPr>
          <w:sz w:val="24"/>
        </w:rPr>
        <w:t>Danh mục dataset của Jan Van Haaren — https://www.janvanhaaren.be/resources.html</w:t>
      </w:r>
    </w:p>
    <w:p>
      <w:pPr>
        <w:spacing w:after="120"/>
        <w:ind w:left="765"/>
      </w:pPr>
      <w:r>
        <w:rPr>
          <w:i/>
          <w:color w:val="B01C1C"/>
          <w:sz w:val="22"/>
        </w:rPr>
        <w:t>Lưu ý: mục Bundesliga 2015/16 của trang này mâu thuẫn với file gốc — xem mục 1.3.</w:t>
      </w:r>
    </w:p>
    <w:sectPr w:rsidR="00FC693F" w:rsidRPr="0006063C" w:rsidSect="00034616">
      <w:footerReference w:type="default" r:id="rId9"/>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nguồn dữ liệu — XAI-Football</dc:title>
  <dc:subject>Lựa chọn bộ dữ liệu cho đề tài mạng chuyền bóng và phân tích chiến thuật bóng đá bằng GNN kết hợp XAI</dc:subject>
  <dc:creator/>
  <cp:keywords/>
  <dc:description>Tài liệu khảo sát và đề xuất nguồn dữ liệu, lập ngày 04/09/2026. Bản Markdown tương ứng: docs/Nguon_du_lieu_XAI_Football.md</dc:description>
  <cp:lastModifiedBy/>
  <cp:revision>1</cp:revision>
  <dcterms:created xsi:type="dcterms:W3CDTF">2013-12-23T23:15:00Z</dcterms:created>
  <dcterms:modified xsi:type="dcterms:W3CDTF">2013-12-23T23:15:00Z</dcterms:modified>
  <cp:category>Báo cáo tiến độ đồ án tốt nghiệp</cp:category>
</cp:coreProperties>
</file>