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BÁO CÁO TIẾN ĐỘ ĐỒ ÁN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 TUẦN — 12/09/2026</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5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Đề tài: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Hệ thống trí tuệ nhân tạo có thể giải thích (XAI) trong bài toán đánh giá và khám phá tri thức thể thao</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5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Hướng nghiên cứu cụ thể: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Mạng chuyền bóng và phân tích chiến thuật bóng đá bằng Graph Neural Network (GNN) kết hợp XAI</w:t>
      </w:r>
      <w:r w:rsidDel="00000000" w:rsidR="00000000" w:rsidRPr="00000000">
        <w:rPr>
          <w:rtl w:val="0"/>
        </w:rPr>
      </w:r>
    </w:p>
    <w:p w:rsidR="00000000" w:rsidDel="00000000" w:rsidP="00000000" w:rsidRDefault="00000000" w:rsidRPr="00000000" w14:paraId="00000005">
      <w:pPr>
        <w:pStyle w:val="Heading1"/>
        <w:spacing w:after="120" w:lineRule="auto"/>
        <w:rPr>
          <w:color w:val="000000"/>
        </w:rPr>
      </w:pPr>
      <w:bookmarkStart w:colFirst="0" w:colLast="0" w:name="_heading=h.r5m45ipz84zd" w:id="0"/>
      <w:bookmarkEnd w:id="0"/>
      <w:r w:rsidDel="00000000" w:rsidR="00000000" w:rsidRPr="00000000">
        <w:rPr>
          <w:rtl w:val="0"/>
        </w:rPr>
      </w:r>
    </w:p>
    <w:p w:rsidR="00000000" w:rsidDel="00000000" w:rsidP="00000000" w:rsidRDefault="00000000" w:rsidRPr="00000000" w14:paraId="00000006">
      <w:pPr>
        <w:pStyle w:val="Heading1"/>
        <w:spacing w:after="120" w:lineRule="auto"/>
        <w:rPr>
          <w:color w:val="000000"/>
        </w:rPr>
      </w:pPr>
      <w:r w:rsidDel="00000000" w:rsidR="00000000" w:rsidRPr="00000000">
        <w:rPr>
          <w:color w:val="000000"/>
          <w:rtl w:val="0"/>
        </w:rPr>
        <w:t xml:space="preserve">1. Phản hồi các góp ý của giảng viên (buổi báo cáo 25/08/2026)</w:t>
      </w:r>
    </w:p>
    <w:p w:rsidR="00000000" w:rsidDel="00000000" w:rsidP="00000000" w:rsidRDefault="00000000" w:rsidRPr="00000000" w14:paraId="00000007">
      <w:pPr>
        <w:spacing w:after="160" w:line="300" w:lineRule="auto"/>
        <w:rPr>
          <w:color w:val="000000"/>
        </w:rPr>
      </w:pPr>
      <w:r w:rsidDel="00000000" w:rsidR="00000000" w:rsidRPr="00000000">
        <w:rPr>
          <w:color w:val="000000"/>
          <w:rtl w:val="0"/>
        </w:rPr>
        <w:t xml:space="preserve">Trong buổi báo cáo tuần trước, thầy đã góp ý ba nhóm ý chính, tập trung vào việc xác định lại cho rõ bài toán nghiên cứu trước khi triển khai các bước tiếp theo. Nhóm xin trình bày cách hiểu và hướng giải quyết cụ thể cho từng ý dưới đây.</w:t>
      </w:r>
    </w:p>
    <w:p w:rsidR="00000000" w:rsidDel="00000000" w:rsidP="00000000" w:rsidRDefault="00000000" w:rsidRPr="00000000" w14:paraId="00000008">
      <w:pPr>
        <w:pStyle w:val="Heading2"/>
        <w:spacing w:after="160" w:before="300" w:lineRule="auto"/>
        <w:rPr>
          <w:color w:val="000000"/>
        </w:rPr>
      </w:pPr>
      <w:r w:rsidDel="00000000" w:rsidR="00000000" w:rsidRPr="00000000">
        <w:rPr>
          <w:color w:val="000000"/>
          <w:rtl w:val="0"/>
        </w:rPr>
        <w:t xml:space="preserve">1.1. Xác nhận định nghĩa bài toán nghiên cứu</w:t>
      </w:r>
    </w:p>
    <w:tbl>
      <w:tblPr>
        <w:tblStyle w:val="Table1"/>
        <w:tblW w:w="10146.0" w:type="dxa"/>
        <w:jc w:val="left"/>
        <w:tblBorders>
          <w:top w:color="e8c468" w:space="0" w:sz="6" w:val="single"/>
          <w:left w:color="e8c468" w:space="0" w:sz="6" w:val="single"/>
          <w:bottom w:color="e8c468" w:space="0" w:sz="6" w:val="single"/>
          <w:right w:color="e8c468" w:space="0" w:sz="6" w:val="single"/>
          <w:insideH w:color="000000" w:space="0" w:sz="4" w:val="single"/>
          <w:insideV w:color="000000" w:space="0" w:sz="4" w:val="single"/>
        </w:tblBorders>
        <w:tblLayout w:type="fixed"/>
        <w:tblLook w:val="0000"/>
      </w:tblPr>
      <w:tblGrid>
        <w:gridCol w:w="10146"/>
        <w:tblGridChange w:id="0">
          <w:tblGrid>
            <w:gridCol w:w="10146"/>
          </w:tblGrid>
        </w:tblGridChange>
      </w:tblGrid>
      <w:tr>
        <w:trPr>
          <w:cantSplit w:val="0"/>
          <w:tblHeader w:val="0"/>
        </w:trPr>
        <w:tc>
          <w:tcPr>
            <w:tcBorders>
              <w:top w:color="e8c468" w:space="0" w:sz="6" w:val="single"/>
              <w:left w:color="e8c468" w:space="0" w:sz="6" w:val="single"/>
              <w:bottom w:color="e8c468" w:space="0" w:sz="6" w:val="single"/>
              <w:right w:color="e8c468" w:space="0" w:sz="6" w:val="single"/>
            </w:tcBorders>
            <w:shd w:fill="fff2cc" w:val="clear"/>
            <w:tcMar>
              <w:top w:w="200.0" w:type="dxa"/>
              <w:left w:w="200.0" w:type="dxa"/>
              <w:bottom w:w="200.0" w:type="dxa"/>
              <w:right w:w="200.0" w:type="dxa"/>
            </w:tcMar>
          </w:tcPr>
          <w:p w:rsidR="00000000" w:rsidDel="00000000" w:rsidP="00000000" w:rsidRDefault="00000000" w:rsidRPr="00000000" w14:paraId="00000009">
            <w:pPr>
              <w:spacing w:after="80" w:lineRule="auto"/>
              <w:rPr>
                <w:color w:val="000000"/>
              </w:rPr>
            </w:pPr>
            <w:r w:rsidDel="00000000" w:rsidR="00000000" w:rsidRPr="00000000">
              <w:rPr>
                <w:b w:val="1"/>
                <w:bCs w:val="1"/>
                <w:i w:val="1"/>
                <w:iCs w:val="1"/>
                <w:color w:val="000000"/>
                <w:rtl w:val="0"/>
              </w:rPr>
              <w:t xml:space="preserve">Nhận xét của giảng viên (25/08):</w:t>
            </w:r>
            <w:r w:rsidDel="00000000" w:rsidR="00000000" w:rsidRPr="00000000">
              <w:rPr>
                <w:rtl w:val="0"/>
              </w:rPr>
            </w:r>
          </w:p>
          <w:p w:rsidR="00000000" w:rsidDel="00000000" w:rsidP="00000000" w:rsidRDefault="00000000" w:rsidRPr="00000000" w14:paraId="0000000A">
            <w:pPr>
              <w:rPr>
                <w:color w:val="000000"/>
              </w:rPr>
            </w:pPr>
            <w:r w:rsidDel="00000000" w:rsidR="00000000" w:rsidRPr="00000000">
              <w:rPr>
                <w:i w:val="1"/>
                <w:iCs w:val="1"/>
                <w:color w:val="000000"/>
                <w:rtl w:val="0"/>
              </w:rPr>
              <w:t xml:space="preserve">“Nhóm cần xác nhận lại bài toán của nhóm có đúng là: (1) dự đoán xác suất một chuỗi tấn công (possession) dẫn đến cú sút/bàn thắng từ đồ thị chuyền bóng; và (2) dùng XAI để chỉ ra subgraph quan trọng và tính chỉ số Hybrid Centrality cho từng cầu thủ hay không. Phải xác định rõ chỗ này thì mới đi đến bước tiếp theo.”</w:t>
            </w:r>
            <w:r w:rsidDel="00000000" w:rsidR="00000000" w:rsidRPr="00000000">
              <w:rPr>
                <w:rtl w:val="0"/>
              </w:rPr>
            </w:r>
          </w:p>
        </w:tc>
      </w:tr>
    </w:tbl>
    <w:p w:rsidR="00000000" w:rsidDel="00000000" w:rsidP="00000000" w:rsidRDefault="00000000" w:rsidRPr="00000000" w14:paraId="0000000B">
      <w:pPr>
        <w:spacing w:after="160" w:lineRule="auto"/>
        <w:rPr>
          <w:color w:val="000000"/>
        </w:rPr>
      </w:pPr>
      <w:r w:rsidDel="00000000" w:rsidR="00000000" w:rsidRPr="00000000">
        <w:rPr>
          <w:rtl w:val="0"/>
        </w:rPr>
      </w:r>
    </w:p>
    <w:p w:rsidR="00000000" w:rsidDel="00000000" w:rsidP="00000000" w:rsidRDefault="00000000" w:rsidRPr="00000000" w14:paraId="0000000C">
      <w:pPr>
        <w:spacing w:after="160" w:line="300" w:lineRule="auto"/>
        <w:rPr>
          <w:color w:val="000000"/>
        </w:rPr>
      </w:pPr>
      <w:r w:rsidDel="00000000" w:rsidR="00000000" w:rsidRPr="00000000">
        <w:rPr>
          <w:color w:val="000000"/>
          <w:rtl w:val="0"/>
        </w:rPr>
        <w:t xml:space="preserve">Nhóm xin xác nhận: đây đúng là định nghĩa bài toán nghiên cứu hiện tại của nhóm, gồm hai bài toán con có quan hệ tầng (pipeline) với nhau:</w:t>
      </w:r>
    </w:p>
    <w:p w:rsidR="00000000" w:rsidDel="00000000" w:rsidP="00000000" w:rsidRDefault="00000000" w:rsidRPr="00000000" w14:paraId="0000000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00" w:lineRule="auto"/>
        <w:ind w:left="45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Bài toán 1 – Dự đoán (Prediction task):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Cho một chuỗi tấn công (possession sequence) được biểu diễn dưới dạng đồ thị chuyền bóng có hướng (đỉnh = cầu thủ, cạnh = đường chuyền, có đặc trưng vị trí, loại chuyền, thời gian), mô hình GNN dự đoán xác suất chuỗi tấn công đó dẫn đến cú sút hoặc bàn thắng. Đây là bài toán phân loại (classification) ở mức đồ thị (graph-level prediction).</w:t>
      </w:r>
    </w:p>
    <w:p w:rsidR="00000000" w:rsidDel="00000000" w:rsidP="00000000" w:rsidRDefault="00000000" w:rsidRPr="00000000" w14:paraId="0000000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00" w:lineRule="auto"/>
        <w:ind w:left="45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Bài toán 2 – Giải thích (XAI task):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Trên mô hình GNN đã huấn luyện ở Bài toán 1, áp dụng phương pháp XAI cho đồ thị (GNNExplainer / PGExplainer) để: (a) xác định subgraph quan trọng – tức tập con cầu thủ và đường chuyền đóng góp nhiều nhất vào dự đoán của mô hình; và (b) tổng hợp các điểm quan trọng đó qua nhiều possession để tính chỉ số Hybrid Centrality cho từng cầu thủ, kết hợp giữa centrality mạng truyền thống và mức độ quan trọng do XAI xác định.</w:t>
      </w:r>
    </w:p>
    <w:p w:rsidR="00000000" w:rsidDel="00000000" w:rsidP="00000000" w:rsidRDefault="00000000" w:rsidRPr="00000000" w14:paraId="0000000F">
      <w:pPr>
        <w:spacing w:after="160" w:line="300" w:lineRule="auto"/>
        <w:rPr>
          <w:color w:val="000000"/>
        </w:rPr>
      </w:pPr>
      <w:r w:rsidDel="00000000" w:rsidR="00000000" w:rsidRPr="00000000">
        <w:rPr>
          <w:color w:val="000000"/>
          <w:rtl w:val="0"/>
        </w:rPr>
        <w:t xml:space="preserve">Nhóm xác nhận Bài toán 2 phụ thuộc vào kết quả của Bài toán 1 (phải có mô hình dự đoán đáng tin cậy thì giải thích của XAI mới có ý nghĩa), và đây chính là cơ sở để nhóm xác định các độ đo đánh giá tương ứng ở mục 1.2 và các mô hình đối sánh ở mục 1.3.</w:t>
      </w:r>
    </w:p>
    <w:p w:rsidR="00000000" w:rsidDel="00000000" w:rsidP="00000000" w:rsidRDefault="00000000" w:rsidRPr="00000000" w14:paraId="00000010">
      <w:pPr>
        <w:pStyle w:val="Heading2"/>
        <w:spacing w:after="160" w:before="300" w:lineRule="auto"/>
        <w:rPr>
          <w:color w:val="000000"/>
        </w:rPr>
      </w:pPr>
      <w:r w:rsidDel="00000000" w:rsidR="00000000" w:rsidRPr="00000000">
        <w:rPr>
          <w:color w:val="000000"/>
          <w:rtl w:val="0"/>
        </w:rPr>
        <w:t xml:space="preserve">1.2. Xác định các độ đo đánh giá (evaluation metrics)</w:t>
      </w:r>
    </w:p>
    <w:tbl>
      <w:tblPr>
        <w:tblStyle w:val="Table2"/>
        <w:tblW w:w="10146.0" w:type="dxa"/>
        <w:jc w:val="left"/>
        <w:tblBorders>
          <w:top w:color="e8c468" w:space="0" w:sz="6" w:val="single"/>
          <w:left w:color="e8c468" w:space="0" w:sz="6" w:val="single"/>
          <w:bottom w:color="e8c468" w:space="0" w:sz="6" w:val="single"/>
          <w:right w:color="e8c468" w:space="0" w:sz="6" w:val="single"/>
          <w:insideH w:color="000000" w:space="0" w:sz="4" w:val="single"/>
          <w:insideV w:color="000000" w:space="0" w:sz="4" w:val="single"/>
        </w:tblBorders>
        <w:tblLayout w:type="fixed"/>
        <w:tblLook w:val="0000"/>
      </w:tblPr>
      <w:tblGrid>
        <w:gridCol w:w="10146"/>
        <w:tblGridChange w:id="0">
          <w:tblGrid>
            <w:gridCol w:w="10146"/>
          </w:tblGrid>
        </w:tblGridChange>
      </w:tblGrid>
      <w:tr>
        <w:trPr>
          <w:cantSplit w:val="0"/>
          <w:tblHeader w:val="0"/>
        </w:trPr>
        <w:tc>
          <w:tcPr>
            <w:tcBorders>
              <w:top w:color="e8c468" w:space="0" w:sz="6" w:val="single"/>
              <w:left w:color="e8c468" w:space="0" w:sz="6" w:val="single"/>
              <w:bottom w:color="e8c468" w:space="0" w:sz="6" w:val="single"/>
              <w:right w:color="e8c468" w:space="0" w:sz="6" w:val="single"/>
            </w:tcBorders>
            <w:shd w:fill="fff2cc" w:val="clear"/>
            <w:tcMar>
              <w:top w:w="200.0" w:type="dxa"/>
              <w:left w:w="200.0" w:type="dxa"/>
              <w:bottom w:w="200.0" w:type="dxa"/>
              <w:right w:w="200.0" w:type="dxa"/>
            </w:tcMar>
          </w:tcPr>
          <w:p w:rsidR="00000000" w:rsidDel="00000000" w:rsidP="00000000" w:rsidRDefault="00000000" w:rsidRPr="00000000" w14:paraId="00000011">
            <w:pPr>
              <w:spacing w:after="80" w:lineRule="auto"/>
              <w:rPr>
                <w:color w:val="000000"/>
              </w:rPr>
            </w:pPr>
            <w:r w:rsidDel="00000000" w:rsidR="00000000" w:rsidRPr="00000000">
              <w:rPr>
                <w:b w:val="1"/>
                <w:bCs w:val="1"/>
                <w:i w:val="1"/>
                <w:iCs w:val="1"/>
                <w:color w:val="000000"/>
                <w:rtl w:val="0"/>
              </w:rPr>
              <w:t xml:space="preserve">Nhận xét của giảng viên (25/08):</w:t>
            </w:r>
            <w:r w:rsidDel="00000000" w:rsidR="00000000" w:rsidRPr="00000000">
              <w:rPr>
                <w:rtl w:val="0"/>
              </w:rPr>
            </w:r>
          </w:p>
          <w:p w:rsidR="00000000" w:rsidDel="00000000" w:rsidP="00000000" w:rsidRDefault="00000000" w:rsidRPr="00000000" w14:paraId="00000012">
            <w:pPr>
              <w:rPr>
                <w:color w:val="000000"/>
              </w:rPr>
            </w:pPr>
            <w:r w:rsidDel="00000000" w:rsidR="00000000" w:rsidRPr="00000000">
              <w:rPr>
                <w:i w:val="1"/>
                <w:iCs w:val="1"/>
                <w:color w:val="000000"/>
                <w:rtl w:val="0"/>
              </w:rPr>
              <w:t xml:space="preserve">“Sau khi xác định đúng bài toán, nhóm cần xác định rõ các độ đo dùng để: (i) đánh giá chất lượng của kết quả dự đoán, và (ii) đánh giá chất lượng của phần giải thích XAI.”</w:t>
            </w:r>
            <w:r w:rsidDel="00000000" w:rsidR="00000000" w:rsidRPr="00000000">
              <w:rPr>
                <w:rtl w:val="0"/>
              </w:rPr>
            </w:r>
          </w:p>
        </w:tc>
      </w:tr>
    </w:tbl>
    <w:p w:rsidR="00000000" w:rsidDel="00000000" w:rsidP="00000000" w:rsidRDefault="00000000" w:rsidRPr="00000000" w14:paraId="00000013">
      <w:pPr>
        <w:spacing w:after="160" w:lineRule="auto"/>
        <w:rPr>
          <w:color w:val="000000"/>
        </w:rPr>
      </w:pPr>
      <w:r w:rsidDel="00000000" w:rsidR="00000000" w:rsidRPr="00000000">
        <w:rPr>
          <w:rtl w:val="0"/>
        </w:rPr>
      </w:r>
    </w:p>
    <w:p w:rsidR="00000000" w:rsidDel="00000000" w:rsidP="00000000" w:rsidRDefault="00000000" w:rsidRPr="00000000" w14:paraId="00000014">
      <w:pPr>
        <w:pStyle w:val="Heading3"/>
        <w:spacing w:after="120" w:before="220" w:lineRule="auto"/>
        <w:rPr>
          <w:color w:val="000000"/>
        </w:rPr>
      </w:pPr>
      <w:r w:rsidDel="00000000" w:rsidR="00000000" w:rsidRPr="00000000">
        <w:rPr>
          <w:color w:val="000000"/>
          <w:rtl w:val="0"/>
        </w:rPr>
        <w:t xml:space="preserve">a) Độ đo cho Bài toán 1 – Dự đoán</w:t>
      </w:r>
    </w:p>
    <w:p w:rsidR="00000000" w:rsidDel="00000000" w:rsidP="00000000" w:rsidRDefault="00000000" w:rsidRPr="00000000" w14:paraId="00000015">
      <w:pPr>
        <w:spacing w:after="160" w:line="300" w:lineRule="auto"/>
        <w:rPr>
          <w:color w:val="000000"/>
        </w:rPr>
      </w:pPr>
      <w:r w:rsidDel="00000000" w:rsidR="00000000" w:rsidRPr="00000000">
        <w:rPr>
          <w:color w:val="000000"/>
          <w:rtl w:val="0"/>
        </w:rPr>
        <w:t xml:space="preserve">Vì đây là bài toán phân loại nhị phân ở mức đồ thị và dữ liệu possession có khả năng mất cân bằng lớp (số possession dẫn đến sút/bàn thắng ít hơn nhiều so với không dẫn đến), nhóm dự kiến dùng bộ độ đo sau:</w:t>
      </w:r>
    </w:p>
    <w:p w:rsidR="00000000" w:rsidDel="00000000" w:rsidP="00000000" w:rsidRDefault="00000000" w:rsidRPr="00000000" w14:paraId="00000016">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Accuracy – độ chính xác tổng thể, dùng làm chỉ số tham khảo nhanh, không dùng làm độ đo chính vì dữ liệu mất cân bằng.</w:t>
      </w:r>
    </w:p>
    <w:p w:rsidR="00000000" w:rsidDel="00000000" w:rsidP="00000000" w:rsidRDefault="00000000" w:rsidRPr="00000000" w14:paraId="00000017">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Precision, Recall, F1-score – đánh giá khả năng nhận diện đúng các possession thực sự dẫn đến sút/bàn thắng.</w:t>
      </w:r>
    </w:p>
    <w:p w:rsidR="00000000" w:rsidDel="00000000" w:rsidP="00000000" w:rsidRDefault="00000000" w:rsidRPr="00000000" w14:paraId="00000018">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AUC-ROC và AUC-PR (Area Under Precision-Recall Curve) – AUC-PR đặc biệt phù hợp khi lớp dương (sút/bàn thắng) hiếm.</w:t>
      </w:r>
    </w:p>
    <w:p w:rsidR="00000000" w:rsidDel="00000000" w:rsidP="00000000" w:rsidRDefault="00000000" w:rsidRPr="00000000" w14:paraId="0000001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Calibration (ví dụ Brier score) – vì đầu ra là xác suất, cần kiểm tra xác suất dự đoán có phản ánh đúng tần suất thực tế hay không, không chỉ đúng nhãn.</w:t>
      </w:r>
    </w:p>
    <w:p w:rsidR="00000000" w:rsidDel="00000000" w:rsidP="00000000" w:rsidRDefault="00000000" w:rsidRPr="00000000" w14:paraId="0000001A">
      <w:pPr>
        <w:pStyle w:val="Heading3"/>
        <w:spacing w:after="120" w:before="220" w:lineRule="auto"/>
        <w:rPr>
          <w:color w:val="000000"/>
        </w:rPr>
      </w:pPr>
      <w:r w:rsidDel="00000000" w:rsidR="00000000" w:rsidRPr="00000000">
        <w:rPr>
          <w:color w:val="000000"/>
          <w:rtl w:val="0"/>
        </w:rPr>
        <w:t xml:space="preserve">b) Độ đo cho Bài toán 2 – XAI</w:t>
      </w:r>
    </w:p>
    <w:p w:rsidR="00000000" w:rsidDel="00000000" w:rsidP="00000000" w:rsidRDefault="00000000" w:rsidRPr="00000000" w14:paraId="0000001B">
      <w:pPr>
        <w:spacing w:after="160" w:line="300" w:lineRule="auto"/>
        <w:rPr>
          <w:color w:val="000000"/>
        </w:rPr>
      </w:pPr>
      <w:r w:rsidDel="00000000" w:rsidR="00000000" w:rsidRPr="00000000">
        <w:rPr>
          <w:color w:val="000000"/>
          <w:rtl w:val="0"/>
        </w:rPr>
        <w:t xml:space="preserve">Đánh giá XAI cho GNN khó hơn vì không có “nhãn đúng” tuyệt đối cho subgraph quan trọng. Nhóm dự kiến dùng các nhóm độ đo phổ biến trong tài liệu XAI cho đồ thị:</w:t>
      </w:r>
    </w:p>
    <w:p w:rsidR="00000000" w:rsidDel="00000000" w:rsidP="00000000" w:rsidRDefault="00000000" w:rsidRPr="00000000" w14:paraId="0000001C">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sdt>
        <w:sdtPr>
          <w:id w:val="-1588398193"/>
          <w:tag w:val="goog_rdk_0"/>
        </w:sdtPr>
        <w:sdtContent>
          <w:commentRangeStart w:id="0"/>
        </w:sdtContent>
      </w:sdt>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Fidelity (Fidelity+/Fidelity−) – đo mức thay đổi của dự đoán khi giữ lại hoặc loại bỏ subgraph được XAI xác định là quan trọng.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Sparsity – đo mức độ gọn/tối giản của subgraph giải thích (giải thích càng ít phần tử mà vẫn giữ được fidelity cao càng tốt).</w:t>
      </w:r>
    </w:p>
    <w:p w:rsidR="00000000" w:rsidDel="00000000" w:rsidP="00000000" w:rsidRDefault="00000000" w:rsidRPr="00000000" w14:paraId="0000001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Stability / Robustness – đo mức độ ổn định của giải thích khi đầu vào bị nhiễu nhẹ hoặc khi lặp lại nhiều lần trên cùng một possession.</w:t>
      </w:r>
    </w:p>
    <w:p w:rsidR="00000000" w:rsidDel="00000000" w:rsidP="00000000" w:rsidRDefault="00000000" w:rsidRPr="00000000" w14:paraId="0000001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ROAR / Insertion-Deletion curve – đánh giá gián tiếp bằng cách xóa/thêm dần các thành phần theo thứ tự quan trọng và quan sát mức suy giảm hiệu năng dự đoán.</w:t>
      </w:r>
    </w:p>
    <w:p w:rsidR="00000000" w:rsidDel="00000000" w:rsidP="00000000" w:rsidRDefault="00000000" w:rsidRPr="00000000" w14:paraId="00000020">
      <w:pPr>
        <w:spacing w:after="160" w:line="300" w:lineRule="auto"/>
        <w:rPr>
          <w:color w:val="000000"/>
        </w:rPr>
      </w:pPr>
      <w:r w:rsidDel="00000000" w:rsidR="00000000" w:rsidRPr="00000000">
        <w:rPr>
          <w:i w:val="1"/>
          <w:iCs w:val="1"/>
          <w:color w:val="000000"/>
          <w:rtl w:val="0"/>
        </w:rPr>
        <w:t xml:space="preserve">Các độ đo XAI này sẽ là cơ sở định lượng để nhóm kiểm chứng Hybrid Centrality ở giai đoạn sau, tránh việc trình bày subgraph quan trọng chỉ mang tính minh họa trực quan.</w:t>
      </w:r>
      <w:r w:rsidDel="00000000" w:rsidR="00000000" w:rsidRPr="00000000">
        <w:rPr>
          <w:rtl w:val="0"/>
        </w:rPr>
      </w:r>
    </w:p>
    <w:p w:rsidR="00000000" w:rsidDel="00000000" w:rsidP="00000000" w:rsidRDefault="00000000" w:rsidRPr="00000000" w14:paraId="00000021">
      <w:pPr>
        <w:pStyle w:val="Heading2"/>
        <w:spacing w:after="160" w:before="300" w:lineRule="auto"/>
        <w:rPr>
          <w:color w:val="000000"/>
        </w:rPr>
      </w:pPr>
      <w:r w:rsidDel="00000000" w:rsidR="00000000" w:rsidRPr="00000000">
        <w:rPr>
          <w:color w:val="000000"/>
          <w:rtl w:val="0"/>
        </w:rPr>
        <w:t xml:space="preserve">1.3. Xác định các mô hình đối sánh (baselines)</w:t>
      </w:r>
    </w:p>
    <w:tbl>
      <w:tblPr>
        <w:tblStyle w:val="Table3"/>
        <w:tblW w:w="10146.0" w:type="dxa"/>
        <w:jc w:val="left"/>
        <w:tblBorders>
          <w:top w:color="e8c468" w:space="0" w:sz="6" w:val="single"/>
          <w:left w:color="e8c468" w:space="0" w:sz="6" w:val="single"/>
          <w:bottom w:color="e8c468" w:space="0" w:sz="6" w:val="single"/>
          <w:right w:color="e8c468" w:space="0" w:sz="6" w:val="single"/>
          <w:insideH w:color="000000" w:space="0" w:sz="4" w:val="single"/>
          <w:insideV w:color="000000" w:space="0" w:sz="4" w:val="single"/>
        </w:tblBorders>
        <w:tblLayout w:type="fixed"/>
        <w:tblLook w:val="0000"/>
      </w:tblPr>
      <w:tblGrid>
        <w:gridCol w:w="10146"/>
        <w:tblGridChange w:id="0">
          <w:tblGrid>
            <w:gridCol w:w="10146"/>
          </w:tblGrid>
        </w:tblGridChange>
      </w:tblGrid>
      <w:tr>
        <w:trPr>
          <w:cantSplit w:val="0"/>
          <w:tblHeader w:val="0"/>
        </w:trPr>
        <w:tc>
          <w:tcPr>
            <w:tcBorders>
              <w:top w:color="e8c468" w:space="0" w:sz="6" w:val="single"/>
              <w:left w:color="e8c468" w:space="0" w:sz="6" w:val="single"/>
              <w:bottom w:color="e8c468" w:space="0" w:sz="6" w:val="single"/>
              <w:right w:color="e8c468" w:space="0" w:sz="6" w:val="single"/>
            </w:tcBorders>
            <w:shd w:fill="fff2cc" w:val="clear"/>
            <w:tcMar>
              <w:top w:w="200.0" w:type="dxa"/>
              <w:left w:w="200.0" w:type="dxa"/>
              <w:bottom w:w="200.0" w:type="dxa"/>
              <w:right w:w="200.0" w:type="dxa"/>
            </w:tcMar>
          </w:tcPr>
          <w:p w:rsidR="00000000" w:rsidDel="00000000" w:rsidP="00000000" w:rsidRDefault="00000000" w:rsidRPr="00000000" w14:paraId="00000022">
            <w:pPr>
              <w:spacing w:after="80" w:lineRule="auto"/>
              <w:rPr>
                <w:color w:val="000000"/>
              </w:rPr>
            </w:pPr>
            <w:r w:rsidDel="00000000" w:rsidR="00000000" w:rsidRPr="00000000">
              <w:rPr>
                <w:b w:val="1"/>
                <w:bCs w:val="1"/>
                <w:i w:val="1"/>
                <w:iCs w:val="1"/>
                <w:color w:val="000000"/>
                <w:rtl w:val="0"/>
              </w:rPr>
              <w:t xml:space="preserve">Nhận xét của giảng viên (25/08):</w:t>
            </w:r>
            <w:r w:rsidDel="00000000" w:rsidR="00000000" w:rsidRPr="00000000">
              <w:rPr>
                <w:rtl w:val="0"/>
              </w:rPr>
            </w:r>
          </w:p>
          <w:p w:rsidR="00000000" w:rsidDel="00000000" w:rsidP="00000000" w:rsidRDefault="00000000" w:rsidRPr="00000000" w14:paraId="00000023">
            <w:pPr>
              <w:rPr>
                <w:color w:val="000000"/>
              </w:rPr>
            </w:pPr>
            <w:r w:rsidDel="00000000" w:rsidR="00000000" w:rsidRPr="00000000">
              <w:rPr>
                <w:i w:val="1"/>
                <w:iCs w:val="1"/>
                <w:color w:val="000000"/>
                <w:rtl w:val="0"/>
              </w:rPr>
              <w:t xml:space="preserve">“Sau khi có độ đo, nhóm cần xác định các mô hình (baseline) cùng giải quyết bài toán này để đối sánh. Nếu không có mô hình nào giải quyết chính xác bài toán, có thể lấy backbone ra so sánh (ví dụ backbone GNN so với GAT). Nếu không có mô hình nào giải quyết đồng thời cả hai bài toán dự đoán và XAI, có thể tách thành hai nhóm baseline riêng: nhóm mô hình dự đoán và nhóm mô hình XAI, đối sánh riêng từng nhóm.”</w:t>
            </w:r>
            <w:r w:rsidDel="00000000" w:rsidR="00000000" w:rsidRPr="00000000">
              <w:rPr>
                <w:rtl w:val="0"/>
              </w:rPr>
            </w:r>
          </w:p>
        </w:tc>
      </w:tr>
    </w:tbl>
    <w:p w:rsidR="00000000" w:rsidDel="00000000" w:rsidP="00000000" w:rsidRDefault="00000000" w:rsidRPr="00000000" w14:paraId="00000024">
      <w:pPr>
        <w:spacing w:after="160" w:lineRule="auto"/>
        <w:rPr>
          <w:color w:val="000000"/>
        </w:rPr>
      </w:pPr>
      <w:r w:rsidDel="00000000" w:rsidR="00000000" w:rsidRPr="00000000">
        <w:rPr>
          <w:rtl w:val="0"/>
        </w:rPr>
      </w:r>
    </w:p>
    <w:p w:rsidR="00000000" w:rsidDel="00000000" w:rsidP="00000000" w:rsidRDefault="00000000" w:rsidRPr="00000000" w14:paraId="00000025">
      <w:pPr>
        <w:spacing w:after="160" w:line="300" w:lineRule="auto"/>
        <w:rPr>
          <w:color w:val="000000"/>
        </w:rPr>
      </w:pPr>
      <w:r w:rsidDel="00000000" w:rsidR="00000000" w:rsidRPr="00000000">
        <w:rPr>
          <w:color w:val="000000"/>
          <w:rtl w:val="0"/>
        </w:rPr>
        <w:t xml:space="preserve">Nhóm đã tiến hành khảo sát tài liệu (danh mục nguồn ở cuối mục này) và xác định cụ thể hướng triển khai theo ba tầng như sau.</w:t>
      </w:r>
    </w:p>
    <w:p w:rsidR="00000000" w:rsidDel="00000000" w:rsidP="00000000" w:rsidRDefault="00000000" w:rsidRPr="00000000" w14:paraId="00000026">
      <w:pPr>
        <w:pStyle w:val="Heading3"/>
        <w:spacing w:after="120" w:before="220" w:lineRule="auto"/>
        <w:rPr>
          <w:color w:val="000000"/>
        </w:rPr>
      </w:pPr>
      <w:r w:rsidDel="00000000" w:rsidR="00000000" w:rsidRPr="00000000">
        <w:rPr>
          <w:color w:val="000000"/>
          <w:rtl w:val="0"/>
        </w:rPr>
        <w:t xml:space="preserve">Tầng 1 – Rà soát mô hình giải quyết đồng thời cả hai bài toán</w:t>
      </w:r>
    </w:p>
    <w:p w:rsidR="00000000" w:rsidDel="00000000" w:rsidP="00000000" w:rsidRDefault="00000000" w:rsidRPr="00000000" w14:paraId="00000027">
      <w:pPr>
        <w:spacing w:after="160" w:line="300" w:lineRule="auto"/>
        <w:rPr>
          <w:color w:val="000000"/>
        </w:rPr>
      </w:pPr>
      <w:r w:rsidDel="00000000" w:rsidR="00000000" w:rsidRPr="00000000">
        <w:rPr>
          <w:color w:val="000000"/>
          <w:rtl w:val="0"/>
        </w:rPr>
        <w:t xml:space="preserve">Kết quả khảo sát cho thấy chưa có công trình nào giải quyết đồng thời cả ba thành phần: (i) dự đoán outcome (sút/bàn thắng) từ đồ thị chuyền bóng open-play, (ii) trích xuất subgraph quan trọng bằng XAI cho đồ thị, và (iii) tổng hợp XAI-importance với centrality mạng thành một chỉ số hợp nhất.</w:t>
      </w:r>
    </w:p>
    <w:p w:rsidR="00000000" w:rsidDel="00000000" w:rsidP="00000000" w:rsidRDefault="00000000" w:rsidRPr="00000000" w14:paraId="00000028">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Công trình gần nhất là TacticAI (Wang, Veličković, Hennes và cộng sự, DeepMind hợp tác Liverpool FC, công bố trên Nature Communications, 2024): dùng GNN (so sánh MPNN và GATv2) trên đồ thị cầu thủ để dự đoán người nhận bóng và khả năng dẫn đến cú sút, nhưng chỉ áp dụng cho tình huống cố định (phạt góc), không dùng graph-XAI dạng subgraph và không tính centrality hợp nhất.</w:t>
      </w:r>
    </w:p>
    <w:p w:rsidR="00000000" w:rsidDel="00000000" w:rsidP="00000000" w:rsidRDefault="00000000" w:rsidRPr="00000000" w14:paraId="0000002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công trình khác dùng GNN cho passing network (ví dụ mô hình dự đoán kết quả trận đấu từ đồ thị chuyền bóng động, hay Tactical Graph Networks dự đoán khả năng giành lại bóng) đều dừng ở bài toán dự đoán, không có tầng giải thích subgraph hay chỉ số centrality kết hợp XAI.</w:t>
      </w:r>
    </w:p>
    <w:p w:rsidR="00000000" w:rsidDel="00000000" w:rsidP="00000000" w:rsidRDefault="00000000" w:rsidRPr="00000000" w14:paraId="0000002A">
      <w:pPr>
        <w:spacing w:after="160" w:line="300" w:lineRule="auto"/>
        <w:rPr>
          <w:color w:val="000000"/>
        </w:rPr>
      </w:pPr>
      <w:r w:rsidDel="00000000" w:rsidR="00000000" w:rsidRPr="00000000">
        <w:rPr>
          <w:i w:val="1"/>
          <w:iCs w:val="1"/>
          <w:color w:val="000000"/>
          <w:rtl w:val="0"/>
        </w:rPr>
        <w:t xml:space="preserve">Vì không tồn tại baseline end-to-end phù hợp, nhóm xác nhận cần chuyển sang Tầng 2 và Tầng 3, đúng như hướng thầy gợi ý.</w:t>
      </w:r>
      <w:r w:rsidDel="00000000" w:rsidR="00000000" w:rsidRPr="00000000">
        <w:rPr>
          <w:rtl w:val="0"/>
        </w:rPr>
      </w:r>
    </w:p>
    <w:p w:rsidR="00000000" w:rsidDel="00000000" w:rsidP="00000000" w:rsidRDefault="00000000" w:rsidRPr="00000000" w14:paraId="0000002B">
      <w:pPr>
        <w:pStyle w:val="Heading3"/>
        <w:spacing w:after="120" w:before="220" w:lineRule="auto"/>
        <w:rPr>
          <w:color w:val="000000"/>
        </w:rPr>
      </w:pPr>
      <w:r w:rsidDel="00000000" w:rsidR="00000000" w:rsidRPr="00000000">
        <w:rPr>
          <w:color w:val="000000"/>
          <w:rtl w:val="0"/>
        </w:rPr>
        <w:t xml:space="preserve">Tầng 2 – So sánh backbone GNN cho Bài toán 1</w:t>
      </w:r>
    </w:p>
    <w:p w:rsidR="00000000" w:rsidDel="00000000" w:rsidP="00000000" w:rsidRDefault="00000000" w:rsidRPr="00000000" w14:paraId="0000002C">
      <w:pPr>
        <w:spacing w:after="160" w:line="300" w:lineRule="auto"/>
        <w:rPr>
          <w:color w:val="000000"/>
        </w:rPr>
      </w:pPr>
      <w:r w:rsidDel="00000000" w:rsidR="00000000" w:rsidRPr="00000000">
        <w:rPr>
          <w:color w:val="000000"/>
          <w:rtl w:val="0"/>
        </w:rPr>
        <w:t xml:space="preserve">Nhóm giữ nguyên pipeline (possession graph → dự đoán → XAI) và thay đổi kiến trúc backbone để đối sánh công bằng trên cùng dữ liệu, cùng cách chia train/val/test và cùng bộ độ đo ở mục 1.2(a). Các backbone cụ thể được chọn:</w:t>
      </w:r>
    </w:p>
    <w:p w:rsidR="00000000" w:rsidDel="00000000" w:rsidP="00000000" w:rsidRDefault="00000000" w:rsidRPr="00000000" w14:paraId="0000002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GCN (Graph Convolutional Network) và MPNN (Message Passing Neural Network) – hai kiến trúc đã đề xuất trong báo cáo tiến độ, dùng làm mô hình chính (backbone đề xuất).</w:t>
      </w:r>
    </w:p>
    <w:p w:rsidR="00000000" w:rsidDel="00000000" w:rsidP="00000000" w:rsidRDefault="00000000" w:rsidRPr="00000000" w14:paraId="0000002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GAT / GATv2 (Graph Attention Network) – baseline đối sánh, có cơ chế attention giúp mô hình tự học trọng số quan trọng giữa các cạnh chuyền bóng; TacticAI đã cho thấy GATv2 cân bằng tốt giữa độ biểu diễn và khả năng khái quát hóa trên đồ thị cầu thủ so với MPNN, đây là căn cứ để nhóm đưa GATv2 vào so sánh.</w:t>
      </w:r>
    </w:p>
    <w:p w:rsidR="00000000" w:rsidDel="00000000" w:rsidP="00000000" w:rsidRDefault="00000000" w:rsidRPr="00000000" w14:paraId="0000002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GraphSAGE – baseline bổ sung, đại diện cho hướng lấy mẫu và tổng hợp (sample-and-aggregate), giúp kiểm tra độ nhạy của kết quả với cách tổng hợp thông tin lân cận.</w:t>
      </w:r>
    </w:p>
    <w:p w:rsidR="00000000" w:rsidDel="00000000" w:rsidP="00000000" w:rsidRDefault="00000000" w:rsidRPr="00000000" w14:paraId="00000030">
      <w:pPr>
        <w:spacing w:after="160" w:line="300" w:lineRule="auto"/>
        <w:rPr>
          <w:color w:val="000000"/>
        </w:rPr>
      </w:pPr>
      <w:r w:rsidDel="00000000" w:rsidR="00000000" w:rsidRPr="00000000">
        <w:rPr>
          <w:i w:val="1"/>
          <w:iCs w:val="1"/>
          <w:color w:val="000000"/>
          <w:rtl w:val="0"/>
        </w:rPr>
        <w:t xml:space="preserve">Việc so sánh backbone giúp cô lập biến số kiến trúc, từ đó khẳng định đóng góp không đến từ việc “chọn đúng mô hình mạnh” mà đến từ toàn bộ pipeline dự đoán – giải thích – Hybrid Centrality.</w:t>
      </w:r>
      <w:r w:rsidDel="00000000" w:rsidR="00000000" w:rsidRPr="00000000">
        <w:rPr>
          <w:rtl w:val="0"/>
        </w:rPr>
      </w:r>
    </w:p>
    <w:p w:rsidR="00000000" w:rsidDel="00000000" w:rsidP="00000000" w:rsidRDefault="00000000" w:rsidRPr="00000000" w14:paraId="00000031">
      <w:pPr>
        <w:pStyle w:val="Heading3"/>
        <w:spacing w:after="120" w:before="220" w:lineRule="auto"/>
        <w:rPr>
          <w:color w:val="000000"/>
        </w:rPr>
      </w:pPr>
      <w:r w:rsidDel="00000000" w:rsidR="00000000" w:rsidRPr="00000000">
        <w:rPr>
          <w:color w:val="000000"/>
          <w:rtl w:val="0"/>
        </w:rPr>
        <w:t xml:space="preserve">Tầng 3 – Tách hai nhóm baseline riêng: Dự đoán và XAI</w:t>
      </w:r>
    </w:p>
    <w:p w:rsidR="00000000" w:rsidDel="00000000" w:rsidP="00000000" w:rsidRDefault="00000000" w:rsidRPr="00000000" w14:paraId="00000032">
      <w:pPr>
        <w:spacing w:after="160" w:line="300" w:lineRule="auto"/>
        <w:rPr>
          <w:color w:val="000000"/>
        </w:rPr>
      </w:pPr>
      <w:r w:rsidDel="00000000" w:rsidR="00000000" w:rsidRPr="00000000">
        <w:rPr>
          <w:color w:val="000000"/>
          <w:rtl w:val="0"/>
        </w:rPr>
        <w:t xml:space="preserve">Vì không có mô hình giải đồng thời cả hai bài toán, nhóm tách baseline thành hai nhóm độc lập, đối sánh riêng theo từng bộ độ đo tương ứng ở mục 1.2.</w:t>
      </w:r>
    </w:p>
    <w:p w:rsidR="00000000" w:rsidDel="00000000" w:rsidP="00000000" w:rsidRDefault="00000000" w:rsidRPr="00000000" w14:paraId="0000003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00" w:lineRule="auto"/>
        <w:ind w:left="45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 Nhóm baseline cho Bài toán 1 – Dự đoán: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Ngoài các backbone GNN ở Tầng 2, nhóm bổ sung baseline phi đồ thị (non-graph) để kiểm chứng giá trị gia tăng thực sự của biểu diễn đồ thị: Logistic Regression, Random Forest và Artificial Neural Network huấn luyện trên đặc trưng thống kê trích xuất từ passing path (số lần chuyền, độ dài chuỗi, góc/khoảng cách trung bình...). Cách làm này có tiền lệ trực tiếp trong nghiên cứu “Passing path predicts shooting outcome in football”, vốn dùng chính ba mô hình này trên đặc trưng passing path để dự đoán outcome cú sút – cùng loại bài toán và cùng loại dữ liệu StatsBomb mà nhóm đang sử dụng, nên có thể tái sử dụng như baseline phi đồ thị hợp lý.</w:t>
      </w:r>
    </w:p>
    <w:p w:rsidR="00000000" w:rsidDel="00000000" w:rsidP="00000000" w:rsidRDefault="00000000" w:rsidRPr="00000000" w14:paraId="0000003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00" w:lineRule="auto"/>
        <w:ind w:left="45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 Nhóm baseline cho Bài toán 2 – XAI: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Nhóm đối sánh nội bộ GNNExplainer và PGExplainer (đã đề xuất trong báo cáo tiến độ) bằng bộ độ đo Fidelity, Sparsity, Stability ở mục 1.2(b). Song song đó, nhóm bổ sung một baseline “không dùng XAI” là centrality mạng truyền thống thuần túy (degree, betweenness, closeness, eigenvector centrality) – đây là các chỉ số đã được dùng phổ biến để xác định cầu thủ trung tâm trong nhiều nghiên cứu passing network. Baseline này dùng để trả lời trực tiếp câu hỏi nghiên cứu ở mục 17 của project context: liệu Hybrid Centrality có cung cấp thông tin vượt trội so với centrality truyền thống hay không. Nhóm cũng cân nhắc SHAP áp dụng trên mô hình phi đồ thị (tương tự cách tiếp cận trong nghiên cứu “Predicting Football Team Performance with Explainable AI”) như một baseline giải thích thay thế, để so sánh giữa explainability ở mức đồ thị (graph-level, do nhóm đề xuất) và explainability ở mức đặc trưng tổng hợp (feature-level, cách tiếp cận phổ biến hiện nay).</w:t>
      </w:r>
    </w:p>
    <w:p w:rsidR="00000000" w:rsidDel="00000000" w:rsidP="00000000" w:rsidRDefault="00000000" w:rsidRPr="00000000" w14:paraId="00000035">
      <w:pPr>
        <w:spacing w:after="160" w:line="300" w:lineRule="auto"/>
        <w:rPr>
          <w:color w:val="000000"/>
        </w:rPr>
      </w:pPr>
      <w:sdt>
        <w:sdtPr>
          <w:id w:val="-966446158"/>
          <w:tag w:val="goog_rdk_1"/>
        </w:sdtPr>
        <w:sdtContent>
          <w:commentRangeStart w:id="1"/>
        </w:sdtContent>
      </w:sdt>
      <w:r w:rsidDel="00000000" w:rsidR="00000000" w:rsidRPr="00000000">
        <w:rPr>
          <w:color w:val="000000"/>
          <w:rtl w:val="0"/>
        </w:rPr>
        <w:t xml:space="preserve">Tổng kết: nhóm sẽ triển khai đối sánh theo đúng ba tầng thầy đề xuất, với danh sách baseline cụ thể như trên. Cấu hình chi tiết (siêu tham số, tỉ lệ chia dữ liệu, số lần chạy lặp lại để tính độ ổn định) sẽ được hoàn thiện trong giai đoạn thực nghiệm và báo cáo lại với thầy trước khi chạy chính thức.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6">
      <w:pPr>
        <w:pStyle w:val="Heading1"/>
        <w:spacing w:after="120" w:lineRule="auto"/>
        <w:rPr>
          <w:color w:val="000000"/>
        </w:rPr>
      </w:pPr>
      <w:sdt>
        <w:sdtPr>
          <w:id w:val="878573811"/>
          <w:tag w:val="goog_rdk_2"/>
        </w:sdtPr>
        <w:sdtContent>
          <w:commentRangeStart w:id="2"/>
        </w:sdtContent>
      </w:sdt>
      <w:r w:rsidDel="00000000" w:rsidR="00000000" w:rsidRPr="00000000">
        <w:rPr>
          <w:color w:val="000000"/>
          <w:rtl w:val="0"/>
        </w:rPr>
        <w:t xml:space="preserve">2. Nội dung thực hiện trong tuần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spacing w:after="160" w:line="300" w:lineRule="auto"/>
        <w:rPr>
          <w:color w:val="000000"/>
        </w:rPr>
      </w:pPr>
      <w:r w:rsidDel="00000000" w:rsidR="00000000" w:rsidRPr="00000000">
        <w:rPr>
          <w:color w:val="000000"/>
          <w:rtl w:val="0"/>
        </w:rPr>
        <w:t xml:space="preserve">Ba nội dung ở mục 1 đã được chốt, gồm định nghĩa bài toán, bộ độ đo và danh sách baseline. Tuần này nhóm chuyển sang giai đoạn chuẩn bị dữ liệu và khung thực nghiệm, tương ứng Bước 1 đến Bước 4 trong quy trình thực hiện đề tài. Nguyên tắc xuyên suốt tuần: mọi quyết định ảnh hưởng đến tính công bằng của phần đối sánh ở mục 1.3, gồm quy tắc gán nhãn, cách chia tập và seed ngẫu nhiên, đều phải được chốt và ghi lại thành văn bản trước khi huấn luyện bất kỳ mô hình nào.</w:t>
      </w:r>
    </w:p>
    <w:p w:rsidR="00000000" w:rsidDel="00000000" w:rsidP="00000000" w:rsidRDefault="00000000" w:rsidRPr="00000000" w14:paraId="00000038">
      <w:pPr>
        <w:pStyle w:val="Heading2"/>
        <w:spacing w:after="160" w:before="3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Chốt quy tắc gán nhãn possession </w:t>
      </w:r>
    </w:p>
    <w:p w:rsidR="00000000" w:rsidDel="00000000" w:rsidP="00000000" w:rsidRDefault="00000000" w:rsidRPr="00000000" w14:paraId="00000039">
      <w:pPr>
        <w:spacing w:after="160" w:line="3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Đây là quyết định chặn toàn bộ các bước phía sau: cách gán nhãn quy định luôn đơn vị đồ thị ở Bước 3 và cách tổng hợp điểm quan trọng cho từng cầu thủ ở Bước 9. Nếu thay đổi quy tắc sau khi đã huấn luyện, toàn bộ kết quả đối sánh ở mục 1.3 sẽ không còn so sánh được với nhau, nên nhóm đặt việc này lên trước việc viết mã.</w:t>
      </w:r>
    </w:p>
    <w:p w:rsidR="00000000" w:rsidDel="00000000" w:rsidP="00000000" w:rsidRDefault="00000000" w:rsidRPr="00000000" w14:paraId="0000003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Phương án A — nhãn ở mức possession:</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gán nhãn 1 nếu possession kết thúc bằng một cú sút. Ưu điểm là một possession ứng với đúng một đồ thị và một nhãn, khớp trực tiếp với bài toán phân loại ở mức đồ thị đã xác nhận ở mục 1.1.</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Phương án B — nhãn ở mức đường chuyền:</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gán nhãn 1 cho đường chuyền dẫn đến cú sút trong N giây tiếp theo, tương tự cách làm của các mô hình expected threat. Tín hiệu sắc nét hơn, nhưng đơn vị đồ thị phải chuyển sang cửa sổ trượt, làm phức tạp Bước 3 và cách tổng hợp điểm XAI ở Bước 9.</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Căn cứ để chốt:</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chạy thống kê mô tả trên dữ liệu thật và báo cáo tỉ lệ lớp dương của từng phương án, thay vì chọn theo cảm tính. Chính tỉ lệ này quyết định chiến lược xử lý mất cân bằng lớp đã nêu ở mục 1.2(a).</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Cách lưu quyết định:</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ghi thành biên bản quyết định trong hồ sơ đề tài, kèm ngày chốt và lý do, để cố định cho toàn bộ các tuần sau.</w:t>
      </w:r>
      <w:r w:rsidDel="00000000" w:rsidR="00000000" w:rsidRPr="00000000">
        <w:rPr>
          <w:rtl w:val="0"/>
        </w:rPr>
      </w:r>
    </w:p>
    <w:p w:rsidR="00000000" w:rsidDel="00000000" w:rsidP="00000000" w:rsidRDefault="00000000" w:rsidRPr="00000000" w14:paraId="0000003E">
      <w:pPr>
        <w:pStyle w:val="Heading2"/>
        <w:spacing w:after="160" w:before="300" w:lineRule="auto"/>
        <w:rPr>
          <w:color w:val="000000"/>
        </w:rPr>
      </w:pPr>
      <w:r w:rsidDel="00000000" w:rsidR="00000000" w:rsidRPr="00000000">
        <w:rPr>
          <w:color w:val="000000"/>
          <w:rtl w:val="0"/>
        </w:rPr>
        <w:t xml:space="preserve">2.2. Thu thập và tiền xử lý dữ liệu (Bước 1 – 2)</w:t>
      </w:r>
    </w:p>
    <w:p w:rsidR="00000000" w:rsidDel="00000000" w:rsidP="00000000" w:rsidRDefault="00000000" w:rsidRPr="00000000" w14:paraId="0000003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Giữ nguyên một nguồn dữ liệu duy nhất là StatsBomb Open Data, phạm vi bắt đầu từ Bundesliga 2023/24 và UEFA Champions League, lấy qua thư viện statsbombpy để bảo đảm tính nhất quán của định dạng sự kiện.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Chỉ giữ các loại sự kiện phục vụ dựng mạng chuyền bóng gồm Pass, Shot, Carry, Dribble, Ball Receipt và Dispossessed; lấy kèm đội hình xuất phát để bổ sung đặc trưng vị trí thi đấu cho đỉnh.</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Lưu nguyên tệp JSON gốc theo cấu trúc giải – mùa – trận để truy vết lại được và không phải tải lại nhiều lần; ghi log số trận, số sự kiện mỗi trận và tỉ lệ trận bị loại.</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Làm sạch dữ liệu: loại possession dưới hai đường chuyền, loại các pha ở hiệp phụ và luân lưu, loại sự kiện thiếu tọa độ thay vì suy diễn giá trị thay thế, tránh đưa nhiễu vào đồ thị.</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Chuẩn hóa tọa độ về sân 120×80 và lật chiều để mọi trận cùng tấn công theo một hướng, bảo đảm mô hình học đúng ngữ nghĩa không gian gần khung thành đối phương.</w:t>
      </w:r>
      <w:r w:rsidDel="00000000" w:rsidR="00000000" w:rsidRPr="00000000">
        <w:rPr>
          <w:rtl w:val="0"/>
        </w:rPr>
      </w:r>
    </w:p>
    <w:p w:rsidR="00000000" w:rsidDel="00000000" w:rsidP="00000000" w:rsidRDefault="00000000" w:rsidRPr="00000000" w14:paraId="00000044">
      <w:pPr>
        <w:spacing w:after="160" w:line="300" w:lineRule="auto"/>
        <w:rPr>
          <w:color w:val="000000"/>
        </w:rPr>
      </w:pPr>
      <w:r w:rsidDel="00000000" w:rsidR="00000000" w:rsidRPr="00000000">
        <w:rPr>
          <w:color w:val="000000"/>
          <w:rtl w:val="0"/>
        </w:rPr>
        <w:t xml:space="preserve">Đầu ra mong đợi của hai bước này là một bảng thống kê mô tả dữ liệu gồm số trận, số possession, độ dài chuỗi chuyền trung bình và tỉ lệ lớp dương. Bảng này vừa là căn cứ định lượng để chốt mục 2.1, vừa dùng trực tiếp cho phần mô tả dữ liệu trong báo cáo cuối kỳ.</w:t>
      </w:r>
    </w:p>
    <w:p w:rsidR="00000000" w:rsidDel="00000000" w:rsidP="00000000" w:rsidRDefault="00000000" w:rsidRPr="00000000" w14:paraId="00000045">
      <w:pPr>
        <w:pStyle w:val="Heading2"/>
        <w:spacing w:after="160" w:before="300" w:lineRule="auto"/>
        <w:rPr>
          <w:color w:val="000000"/>
        </w:rPr>
      </w:pPr>
      <w:r w:rsidDel="00000000" w:rsidR="00000000" w:rsidRPr="00000000">
        <w:rPr>
          <w:color w:val="000000"/>
          <w:rtl w:val="0"/>
        </w:rPr>
        <w:t xml:space="preserve">2.3. Xây dựng đồ thị possession và chia tập dữ liệu (Bước 3 – 4)</w:t>
      </w:r>
    </w:p>
    <w:p w:rsidR="00000000" w:rsidDel="00000000" w:rsidP="00000000" w:rsidRDefault="00000000" w:rsidRPr="00000000" w14:paraId="00000046">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Đỉnh là các cầu thủ có tham gia chính possession đó, đặc trưng gồm vị trí thi đấu, tọa độ trung bình trong pha bóng và số lần chạm bóng.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Cạnh có hướng biểu diễn một đường chuyền thành công, đặc trưng gồm tọa độ điểm chuyền và điểm nhận, khoảng cách, góc chuyền, loại đường chuyền và thời điểm trong possession.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bookmarkStart w:colFirst="0" w:colLast="0" w:name="_heading=h.xmvhej190hr9" w:id="1"/>
      <w:bookmarkEnd w:id="1"/>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Mỗi possession được đóng gói thành một đối tượng đồ thị của PyTorch Geometric với một nhãn duy nhất ở mức đồ thị, lưu lại theo từng giải để không phải dựng lại đồ thị mỗi lần huấn luyện.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Chia tập theo trận đấu với tỉ lệ 70/15/15 và phân tầng theo tỉ lệ nhãn dương ở cấp trận. Không chia ngẫu nhiên theo possession, vì các pha trong cùng một trận có tương quan về đội hình và chiến thuật nên sẽ gây rò rỉ dữ liệu giữa tập huấn luyện và tập kiểm tra.</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82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300" w:lineRule="auto"/>
        <w:ind w:left="5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6838" w:w="11906"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ê Văn Vang" w:id="2" w:date="2026-09-18T08:31:13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hãy sớm chuyển qua giai đoạn thực nghiệm</w:t>
      </w:r>
    </w:p>
  </w:comment>
  <w:comment w:author="Lê Văn Vang" w:id="1" w:date="2026-09-18T08:30:21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nhất trí</w:t>
      </w:r>
    </w:p>
  </w:comment>
  <w:comment w:author="Lê Văn Vang" w:id="0" w:date="2026-09-18T08:24:10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 thị bị đứt gãy khi loại bỏ subgraph thì sao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C" w15:done="0"/>
  <w15:commentEx w15:paraId="0000004D" w15:done="0"/>
  <w15:commentEx w15:paraId="0000004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8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i w:val="1"/>
      <w:iCs w:val="1"/>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table" w:styleId="12" w:customStyle="1">
    <w:name w:val="TableNormal"/>
    <w:uiPriority w:val="0"/>
    <w:qFormat w:val="1"/>
    <w:tblPr>
      <w:tblCellMar>
        <w:top w:w="100.0" w:type="dxa"/>
        <w:left w:w="100.0" w:type="dxa"/>
        <w:bottom w:w="100.0" w:type="dxa"/>
        <w:right w:w="100.0" w:type="dxa"/>
      </w:tblCellMar>
    </w:tblPr>
  </w:style>
  <w:style w:type="table" w:styleId="13" w:customStyle="1">
    <w:name w:val="_Style 10"/>
    <w:basedOn w:val="12"/>
    <w:uiPriority w:val="0"/>
    <w:qFormat w:val="1"/>
    <w:tblPr>
      <w:tblCellMar>
        <w:top w:w="0.0" w:type="dxa"/>
        <w:left w:w="10.0" w:type="dxa"/>
        <w:bottom w:w="0.0" w:type="dxa"/>
        <w:right w:w="10.0" w:type="dxa"/>
      </w:tblCellMar>
    </w:tblPr>
  </w:style>
  <w:style w:type="table" w:styleId="14" w:customStyle="1">
    <w:name w:val="_Style 11"/>
    <w:basedOn w:val="12"/>
    <w:uiPriority w:val="0"/>
    <w:qFormat w:val="1"/>
    <w:tblPr>
      <w:tblCellMar>
        <w:top w:w="0.0" w:type="dxa"/>
        <w:left w:w="10.0" w:type="dxa"/>
        <w:bottom w:w="0.0" w:type="dxa"/>
        <w:right w:w="10.0" w:type="dxa"/>
      </w:tblCellMar>
    </w:tblPr>
  </w:style>
  <w:style w:type="table" w:styleId="15" w:customStyle="1">
    <w:name w:val="_Style 12"/>
    <w:basedOn w:val="12"/>
    <w:uiPriority w:val="0"/>
    <w:qFormat w:val="1"/>
    <w:tblPr>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fE/92OGITSM2GfhNf+ramjdo+A==">CgMxLjAaJwoBMBIiCiAIBCocCgtBQUFDSFRPYkRmURAIGgtBQUFDSFRPYkRmURonCgExEiIKIAgEKhwKC0FBQUNIVE9iRGZjEAgaC0FBQUNIVE9iRGZjGicKATISIgogCAQqHAoLQUFBQ0hUT2JEZmcQCBoLQUFBQ0hUT2JEZmcinAMKC0FBQUNIVE9iRGZnEuwCCgtBQUFDSFRPYkRmZxILQUFBQ0hUT2JEZmcaRwoJdGV4dC9odG1sEjpuaMOzbSBow6N5IHPhu5ttIGNodXnhu4NuIHF1YSBnaWFpIMSRb+G6oW4gdGjhu7FjIG5naGnhu4dtIkgKCnRleHQvcGxhaW4SOm5ow7NtIGjDo3kgc+G7m20gY2h1eeG7g24gcXVhIGdpYWkgxJFv4bqhbiB0aOG7sWMgbmdoaeG7h20qGyIVMTE3NTE0NzUzNzQzMjIyMzMzODA3KAA4ADDUxZCdizQ41MWQnYs0SjYKCnRleHQvcGxhaW4SKDIuIE7hu5lpIGR1bmcgdGjhu7FjIGhp4buHbiB0cm9uZyB0deG6p25aDGQwbHAwYm5pZTFwYXICIAB4AJoBBggAEAAYAKoBPBI6bmjDs20gaMOjeSBz4bubbSBjaHV54buDbiBxdWEgZ2lhaSDEkW/huqFuIHRo4buxYyBuZ2hp4buHbRjUxZCdizQg1MWQnYs0QhBraXguMjl2YjA0N2Q1YjA2Iv0ECgtBQUFDSFRPYkRmYxLNBAoLQUFBQ0hUT2JEZmMSC0FBQUNIVE9iRGZjGhgKCXRleHQvaHRtbBILbmjhuqV0IHRyw60iGQoKdGV4dC9wbGFpbhILbmjhuqV0IHRyw60qGyIVMTE3NTE0NzUzNzQzMjIyMzMzODA3KAA4ADCVsI2dizQ4lbCNnYs0SqMDCgp0ZXh0L3BsYWluEpQDVOG7lW5nIGvhur90OiBuaMOzbSBz4bq9IHRyaeG7g24ga2hhaSDEkeG7kWkgc8OhbmggdGhlbyDEkcO6bmcgYmEgdOG6p25nIHRo4bqneSDEkeG7gSB4deG6pXQsIHbhu5tpIGRhbmggc8OhY2ggYmFzZWxpbmUgY+G7pSB0aOG7gyBuaMawIHRyw6puLiBD4bqldSBow6xuaCBjaGkgdGnhur90IChzacOqdSB0aGFtIHPhu5EsIHThu4kgbOG7hyBjaGlhIGThu68gbGnhu4d1LCBz4buRIGzhuqduIGNo4bqheSBs4bq3cCBs4bqhaSDEkeG7gyB0w61uaCDEkeG7mSDhu5VuIMSR4buLbmgpIHPhur0gxJHGsOG7o2MgaG/DoG4gdGhp4buHbiB0cm9uZyBnaWFpIMSRb+G6oW4gdGjhu7FjIG5naGnhu4dtIHbDoCBiw6FvIGPDoW8gbOG6oWkgduG7m2kgdGjhuqd5IHRyxrDhu5tjIGtoaSBjaOG6oXkgY2jDrW5oIHRo4bupYy5aDGhmaG52cmd1NTc2cnICIAB4AJoBBggAEAAYAKoBDRILbmjhuqV0IHRyw60YlbCNnYs0IJWwjZ2LNEIQa2l4LjY0ZHNsdXQwZ281ciKsBAoLQUFBQ0hUT2JEZlES/AMKC0FBQUNIVE9iRGZREgtBQUFDSFRPYkRmURpNCgl0ZXh0L2h0bWwSQMSR4buTIHRo4buLIGLhu4sgxJHhu6l0IGfDo3kga2hpIGxv4bqhaSBi4buPIHN1YmdyYXBoIHRow6wgc2FvID8iTgoKdGV4dC9wbGFpbhJAxJHhu5MgdGjhu4sgYuG7iyDEkeG7qXQgZ8OjeSBraGkgbG/huqFpIGLhu48gc3ViZ3JhcGggdGjDrCBzYW8gPyobIhUxMTc1MTQ3NTM3NDMyMjIzMzM4MDcoADgAMIrc9pyLNDiK3PacizRKswEKCnRleHQvcGxhaW4SpAFGaWRlbGl0eSAoRmlkZWxpdHkrL0ZpZGVsaXR54oiSKSDigJMgxJFvIG3hu6ljIHRoYXkgxJHhu5VpIGPhu6dhIGThu7EgxJFvw6FuIGtoaSBnaeG7ryBs4bqhaSBob+G6t2MgbG/huqFpIGLhu48gc3ViZ3JhcGggxJHGsOG7o2MgWEFJIHjDoWMgxJHhu4tuaCBsw6AgcXVhbiB0cuG7jW5nLloMOXlvZm13Zjhha3p2cgIgAHgAmgEGCAAQABgAqgFCEkDEkeG7kyB0aOG7iyBi4buLIMSR4bupdCBnw6N5IGtoaSBsb+G6oWkgYuG7jyBzdWJncmFwaCB0aMOsIHNhbyA/GIrc9pyLNCCK3PacizRCEGtpeC42NWp0ZXA4d3MzdHQyDmgucjVtNDVpcHo4NHpkMg5oLnhtdmhlajE5MGhyOTgAciExNzZoMzBDczRoVEcwZFY0M3VTLVRJcnBwVEdoVzBQM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2026-09-12T12:07:18Z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eyJoZGlkIjoiN2ZkN2U0NTE2ZWZjNGNkOGYwMTY5ODIwZjEyYjUxNGMiLCJ1c2VySWQiOiIxMzkyMDcxMTY0ODMxIn0=</vt:lpwstr>
  </property>
  <property fmtid="{D5CDD505-2E9C-101B-9397-08002B2CF9AE}" pid="3" name="KSOProductBuildVer">
    <vt:lpwstr>1033-12.1.0.28485</vt:lpwstr>
  </property>
  <property fmtid="{D5CDD505-2E9C-101B-9397-08002B2CF9AE}" pid="4" name="ICV">
    <vt:lpwstr>867C26098E674EE68BF522B84825F5B0_13</vt:lpwstr>
  </property>
</Properties>
</file>