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3AA31">
      <w:pPr>
        <w:spacing w:before="0" w:after="60"/>
        <w:jc w:val="center"/>
        <w:rPr>
          <w:color w:val="auto"/>
          <w:sz w:val="26"/>
          <w:szCs w:val="26"/>
        </w:rPr>
      </w:pPr>
      <w:r>
        <w:rPr>
          <w:rFonts w:ascii="Times New Roman" w:hAnsi="Times New Roman"/>
          <w:b/>
          <w:color w:val="auto"/>
          <w:sz w:val="26"/>
          <w:szCs w:val="26"/>
        </w:rPr>
        <w:t>BÁO CÁO TIẾN ĐỘ ĐỒ ÁN</w:t>
      </w:r>
    </w:p>
    <w:p w14:paraId="60EA6EF0">
      <w:pPr>
        <w:spacing w:before="0" w:after="240"/>
        <w:jc w:val="center"/>
        <w:rPr>
          <w:color w:val="auto"/>
          <w:sz w:val="26"/>
          <w:szCs w:val="26"/>
        </w:rPr>
      </w:pPr>
      <w:r>
        <w:rPr>
          <w:rFonts w:ascii="Times New Roman" w:hAnsi="Times New Roman"/>
          <w:b/>
          <w:color w:val="auto"/>
          <w:sz w:val="26"/>
          <w:szCs w:val="26"/>
        </w:rPr>
        <w:t>BÁO CÁO TIẾN ĐỘ TUẦN — 23/10/2026</w:t>
      </w:r>
    </w:p>
    <w:p w14:paraId="5C1A2F4E">
      <w:pPr>
        <w:spacing w:before="0" w:after="80" w:line="276" w:lineRule="auto"/>
        <w:jc w:val="left"/>
        <w:rPr>
          <w:color w:val="auto"/>
          <w:sz w:val="26"/>
          <w:szCs w:val="26"/>
        </w:rPr>
      </w:pPr>
      <w:r>
        <w:rPr>
          <w:rFonts w:ascii="Times New Roman" w:hAnsi="Times New Roman"/>
          <w:b/>
          <w:color w:val="auto"/>
          <w:sz w:val="26"/>
          <w:szCs w:val="26"/>
        </w:rPr>
        <w:t xml:space="preserve">Đề tài: </w:t>
      </w:r>
      <w:r>
        <w:rPr>
          <w:rFonts w:ascii="Times New Roman" w:hAnsi="Times New Roman"/>
          <w:i w:val="0"/>
          <w:color w:val="auto"/>
          <w:sz w:val="26"/>
          <w:szCs w:val="26"/>
        </w:rPr>
        <w:t>Hệ thống trí tuệ nhân tạo có thể giải thích (XAI) trong bài toán đánh giá và khám phá tri thức thể thao</w:t>
      </w:r>
    </w:p>
    <w:p w14:paraId="0253A57F">
      <w:pPr>
        <w:spacing w:before="0" w:after="80" w:line="276" w:lineRule="auto"/>
        <w:jc w:val="left"/>
        <w:rPr>
          <w:color w:val="auto"/>
          <w:sz w:val="26"/>
          <w:szCs w:val="26"/>
        </w:rPr>
      </w:pPr>
      <w:r>
        <w:rPr>
          <w:rFonts w:ascii="Times New Roman" w:hAnsi="Times New Roman"/>
          <w:b/>
          <w:color w:val="auto"/>
          <w:sz w:val="26"/>
          <w:szCs w:val="26"/>
        </w:rPr>
        <w:t xml:space="preserve">Hướng nghiên cứu cụ thể: </w:t>
      </w:r>
      <w:r>
        <w:rPr>
          <w:rFonts w:ascii="Times New Roman" w:hAnsi="Times New Roman"/>
          <w:i w:val="0"/>
          <w:color w:val="auto"/>
          <w:sz w:val="26"/>
          <w:szCs w:val="26"/>
        </w:rPr>
        <w:t>Mạng chuyền bóng và phân tích chiến thuật bóng đá bằng Graph Neural Network (GNN) kết hợp XAI</w:t>
      </w:r>
    </w:p>
    <w:p w14:paraId="08FE6187">
      <w:pPr>
        <w:spacing w:before="0" w:after="80" w:line="276" w:lineRule="auto"/>
        <w:jc w:val="left"/>
        <w:rPr>
          <w:color w:val="auto"/>
          <w:sz w:val="26"/>
          <w:szCs w:val="26"/>
        </w:rPr>
      </w:pPr>
      <w:r>
        <w:rPr>
          <w:rFonts w:ascii="Times New Roman" w:hAnsi="Times New Roman"/>
          <w:b/>
          <w:color w:val="auto"/>
          <w:sz w:val="26"/>
          <w:szCs w:val="26"/>
        </w:rPr>
        <w:t xml:space="preserve">Thời gian thực hiện: </w:t>
      </w:r>
      <w:r>
        <w:rPr>
          <w:rFonts w:ascii="Times New Roman" w:hAnsi="Times New Roman"/>
          <w:i w:val="0"/>
          <w:color w:val="auto"/>
          <w:sz w:val="26"/>
          <w:szCs w:val="26"/>
        </w:rPr>
        <w:t>Giai đoạn từ 12/10/2026 đến 23/10/2026</w:t>
      </w:r>
    </w:p>
    <w:p w14:paraId="3873D96B">
      <w:pPr>
        <w:spacing w:before="0" w:after="200" w:line="276" w:lineRule="auto"/>
        <w:jc w:val="left"/>
        <w:rPr>
          <w:color w:val="auto"/>
          <w:sz w:val="26"/>
          <w:szCs w:val="26"/>
        </w:rPr>
      </w:pPr>
      <w:r>
        <w:rPr>
          <w:rFonts w:ascii="Times New Roman" w:hAnsi="Times New Roman"/>
          <w:b/>
          <w:color w:val="auto"/>
          <w:sz w:val="26"/>
          <w:szCs w:val="26"/>
        </w:rPr>
        <w:t xml:space="preserve">Trọng tâm báo cáo: </w:t>
      </w:r>
      <w:r>
        <w:rPr>
          <w:rFonts w:ascii="Times New Roman" w:hAnsi="Times New Roman"/>
          <w:i w:val="0"/>
          <w:color w:val="auto"/>
          <w:sz w:val="26"/>
          <w:szCs w:val="26"/>
        </w:rPr>
        <w:t>(1) Phản hồi chi tiết nhận xét của giảng viên về kết quả mô hình phi đồ thị và đính chính số liệu trong báo cáo 11/10; (2) Kết quả thực nghiệm Ablation Study và Kiểm định ý nghĩa thống kê 5 seeds; (3) Hoàn tất kiểm toán và đóng gói minh chứng tái lập toàn diện Bước 0–6 phục vụ bài báo và đồ án tốt nghiệp; (4) Tiến độ triển khai nhánh nghiên cứu XAI Bước 7–9.</w:t>
      </w:r>
    </w:p>
    <w:p w14:paraId="735BEAE8">
      <w:pPr>
        <w:keepNext/>
        <w:spacing w:before="240" w:after="120"/>
        <w:rPr>
          <w:color w:val="4F81BD" w:themeColor="accent1"/>
          <w:sz w:val="30"/>
          <w:szCs w:val="30"/>
          <w14:textFill>
            <w14:solidFill>
              <w14:schemeClr w14:val="accent1"/>
            </w14:solidFill>
          </w14:textFill>
        </w:rPr>
      </w:pPr>
      <w:r>
        <w:rPr>
          <w:rFonts w:ascii="Times New Roman" w:hAnsi="Times New Roman"/>
          <w:b/>
          <w:color w:val="4F81BD" w:themeColor="accent1"/>
          <w:sz w:val="30"/>
          <w:szCs w:val="30"/>
          <w14:textFill>
            <w14:solidFill>
              <w14:schemeClr w14:val="accent1"/>
            </w14:solidFill>
          </w14:textFill>
        </w:rPr>
        <w:t>1. Phản hồi ý kiến và nhận xét của giảng viên (Báo cáo tuần 11/10/2026)</w:t>
      </w:r>
    </w:p>
    <w:p w14:paraId="69784B1B">
      <w:pPr>
        <w:spacing w:before="0" w:after="80" w:line="276" w:lineRule="auto"/>
        <w:jc w:val="left"/>
        <w:rPr>
          <w:color w:val="auto"/>
          <w:sz w:val="26"/>
          <w:szCs w:val="26"/>
        </w:rPr>
      </w:pPr>
      <w:r>
        <w:rPr>
          <w:rFonts w:ascii="Times New Roman" w:hAnsi="Times New Roman"/>
          <w:i w:val="0"/>
          <w:color w:val="auto"/>
          <w:sz w:val="26"/>
          <w:szCs w:val="26"/>
        </w:rPr>
        <w:t>Trong tài liệu Báo cáo tuần ngày 11/10/2026 (mục 4.2, Bảng 3), Giảng viên hướng dẫn (thầy Lê Văn Vang) đã để lại nhận xét quan trọng đối với kết quả đánh giá giữa nhóm mô hình đồ thị và nhóm phi đồ thị. Nhóm xin trích dẫn nguyên văn nhận xét và trình bày báo cáo giải trình, đính chính số liệu, cùng kết quả thực nghiệm bóc tách chuyên sâu như sau:</w:t>
      </w:r>
    </w:p>
    <w:tbl>
      <w:tblPr>
        <w:tblStyle w:val="12"/>
        <w:tblW w:w="0" w:type="auto"/>
        <w:jc w:val="center"/>
        <w:tblLayout w:type="fixed"/>
        <w:tblCellMar>
          <w:top w:w="0" w:type="dxa"/>
          <w:left w:w="108" w:type="dxa"/>
          <w:bottom w:w="0" w:type="dxa"/>
          <w:right w:w="108" w:type="dxa"/>
        </w:tblCellMar>
      </w:tblPr>
      <w:tblGrid>
        <w:gridCol w:w="9749"/>
      </w:tblGrid>
      <w:tr w14:paraId="1CA40A25">
        <w:tblPrEx>
          <w:tblCellMar>
            <w:top w:w="0" w:type="dxa"/>
            <w:left w:w="108" w:type="dxa"/>
            <w:bottom w:w="0" w:type="dxa"/>
            <w:right w:w="108" w:type="dxa"/>
          </w:tblCellMar>
        </w:tblPrEx>
        <w:trPr>
          <w:jc w:val="center"/>
        </w:trPr>
        <w:tc>
          <w:tcPr>
            <w:tcW w:w="9720" w:type="dxa"/>
            <w:tcBorders>
              <w:top w:val="single" w:color="E8C468" w:sz="6" w:space="0"/>
              <w:left w:val="single" w:color="E8C468" w:sz="6" w:space="0"/>
              <w:bottom w:val="single" w:color="E8C468" w:sz="6" w:space="0"/>
              <w:right w:val="single" w:color="E8C468" w:sz="6" w:space="0"/>
            </w:tcBorders>
            <w:shd w:val="clear" w:color="auto" w:fill="FFF2CC"/>
            <w:tcMar>
              <w:top w:w="200" w:type="dxa"/>
              <w:left w:w="200" w:type="dxa"/>
              <w:bottom w:w="200" w:type="dxa"/>
              <w:right w:w="200" w:type="dxa"/>
            </w:tcMar>
          </w:tcPr>
          <w:p w14:paraId="3C27CC15">
            <w:pPr>
              <w:spacing w:before="0" w:after="80" w:line="276" w:lineRule="auto"/>
              <w:rPr>
                <w:color w:val="auto"/>
                <w:sz w:val="26"/>
                <w:szCs w:val="26"/>
              </w:rPr>
            </w:pPr>
            <w:r>
              <w:rPr>
                <w:rFonts w:ascii="Times New Roman" w:hAnsi="Times New Roman"/>
                <w:b/>
                <w:i/>
                <w:color w:val="auto"/>
                <w:sz w:val="26"/>
                <w:szCs w:val="26"/>
              </w:rPr>
              <w:t>Nhận xét của Giảng viên tại Bảng 3, mục 4.2:</w:t>
            </w:r>
          </w:p>
          <w:p w14:paraId="0F2ECA14">
            <w:pPr>
              <w:spacing w:before="40" w:after="0" w:line="276" w:lineRule="auto"/>
              <w:rPr>
                <w:color w:val="auto"/>
                <w:sz w:val="26"/>
                <w:szCs w:val="26"/>
              </w:rPr>
            </w:pPr>
            <w:r>
              <w:rPr>
                <w:rFonts w:ascii="Times New Roman" w:hAnsi="Times New Roman"/>
                <w:i/>
                <w:color w:val="auto"/>
                <w:sz w:val="26"/>
                <w:szCs w:val="26"/>
              </w:rPr>
              <w:t>“Nhóm phi đồ thị lại cho kết quả tốt hơn ?”</w:t>
            </w:r>
          </w:p>
        </w:tc>
      </w:tr>
    </w:tbl>
    <w:p w14:paraId="6616D0D2">
      <w:pPr>
        <w:spacing w:before="80" w:after="80"/>
        <w:rPr>
          <w:color w:val="auto"/>
          <w:sz w:val="26"/>
          <w:szCs w:val="26"/>
        </w:rPr>
      </w:pPr>
    </w:p>
    <w:p w14:paraId="0A047FFE">
      <w:pPr>
        <w:keepNext/>
        <w:spacing w:before="180" w:after="80"/>
        <w:rPr>
          <w:color w:val="auto"/>
          <w:sz w:val="26"/>
          <w:szCs w:val="26"/>
        </w:rPr>
      </w:pPr>
      <w:r>
        <w:rPr>
          <w:rFonts w:ascii="Times New Roman" w:hAnsi="Times New Roman"/>
          <w:b/>
          <w:color w:val="auto"/>
          <w:sz w:val="26"/>
          <w:szCs w:val="26"/>
        </w:rPr>
        <w:t>1.1. Tóm tắt nội dung phản hồi cốt lõi</w:t>
      </w:r>
    </w:p>
    <w:p w14:paraId="23168AE9">
      <w:pPr>
        <w:spacing w:before="0" w:after="80" w:line="276" w:lineRule="auto"/>
        <w:jc w:val="left"/>
        <w:rPr>
          <w:color w:val="auto"/>
          <w:sz w:val="26"/>
          <w:szCs w:val="26"/>
        </w:rPr>
      </w:pPr>
      <w:r>
        <w:rPr>
          <w:rFonts w:ascii="Times New Roman" w:hAnsi="Times New Roman"/>
          <w:b/>
          <w:color w:val="auto"/>
          <w:sz w:val="26"/>
          <w:szCs w:val="26"/>
        </w:rPr>
        <w:t xml:space="preserve">• </w:t>
      </w:r>
      <w:r>
        <w:rPr>
          <w:rFonts w:ascii="Times New Roman" w:hAnsi="Times New Roman"/>
          <w:i w:val="0"/>
          <w:color w:val="auto"/>
          <w:sz w:val="26"/>
          <w:szCs w:val="26"/>
        </w:rPr>
        <w:t xml:space="preserve">1. Báo cáo 11/10 là số liệu trên 1 seed ngẫu nhiên duy nhất (seed 42). Khi nhóm mở rộng thực nghiệm huấn luyện đủ 5 seeds độc lập (42, 123, 456, 789, </w:t>
      </w:r>
      <w:r>
        <w:rPr>
          <w:rFonts w:hint="default" w:ascii="Times New Roman" w:hAnsi="Times New Roman"/>
          <w:i w:val="0"/>
          <w:color w:val="auto"/>
          <w:sz w:val="26"/>
          <w:szCs w:val="26"/>
          <w:lang w:val="en-US"/>
        </w:rPr>
        <w:t>1024</w:t>
      </w:r>
      <w:r>
        <w:rPr>
          <w:rFonts w:ascii="Times New Roman" w:hAnsi="Times New Roman"/>
          <w:i w:val="0"/>
          <w:color w:val="auto"/>
          <w:sz w:val="26"/>
          <w:szCs w:val="26"/>
        </w:rPr>
        <w:t>) và thực hiện kiểm định thống kê bắt cặp (paired cluster bootstrap theo trận 10.000 vòng, hiệu chỉnh đa giả thuyết Holm-Bonferroni), MPNN KHÔNG CÒN THUA CÓ Ý NGHĨA THỐNG KÊ so với Random Forest và ANN (AUC-PR: MPNN đạt 0,600 so với RF 0,620 và ANN 0,612; giá trị p sau hiệu chỉnh Holm = 0,27 &gt; 0,05).</w:t>
      </w:r>
    </w:p>
    <w:p w14:paraId="762E3167">
      <w:pPr>
        <w:spacing w:before="0" w:after="80" w:line="276" w:lineRule="auto"/>
        <w:jc w:val="left"/>
        <w:rPr>
          <w:color w:val="auto"/>
          <w:sz w:val="26"/>
          <w:szCs w:val="26"/>
        </w:rPr>
      </w:pPr>
      <w:r>
        <w:rPr>
          <w:rFonts w:ascii="Times New Roman" w:hAnsi="Times New Roman"/>
          <w:b/>
          <w:color w:val="auto"/>
          <w:sz w:val="26"/>
          <w:szCs w:val="26"/>
        </w:rPr>
        <w:t xml:space="preserve">• </w:t>
      </w:r>
      <w:r>
        <w:rPr>
          <w:rFonts w:ascii="Times New Roman" w:hAnsi="Times New Roman"/>
          <w:i w:val="0"/>
          <w:color w:val="auto"/>
          <w:sz w:val="26"/>
          <w:szCs w:val="26"/>
        </w:rPr>
        <w:t>2. Lợi thế điểm số của nhóm phi đồ thị trong báo cáo cũ đến gần như hoàn toàn từ 1 đặc trưng tổng hợp duy nhất: tọa độ điểm rơi của đường chuyền cuối cùng (final_x, final_y). Do quy tắc cắt đồ thị tại cú sút đầu tiên (truncate_at_first_shot: true), đường chuyền cuối ngay trước cú sút mang thông tin trực tiếp về vị trí dứt điểm. Khi thực hiện thí nghiệm bóc tách (Ablation Study) bỏ 2 đặc trưng này, AUC-PR của Random Forest sụp đổ từ 0,620 xuống 0,268 (thấp hơn mọi mô hình GNN).</w:t>
      </w:r>
    </w:p>
    <w:p w14:paraId="63ED0575">
      <w:pPr>
        <w:spacing w:before="0" w:after="80" w:line="276" w:lineRule="auto"/>
        <w:jc w:val="left"/>
        <w:rPr>
          <w:color w:val="auto"/>
          <w:sz w:val="26"/>
          <w:szCs w:val="26"/>
        </w:rPr>
      </w:pPr>
      <w:r>
        <w:rPr>
          <w:rFonts w:ascii="Times New Roman" w:hAnsi="Times New Roman"/>
          <w:b/>
          <w:color w:val="auto"/>
          <w:sz w:val="26"/>
          <w:szCs w:val="26"/>
        </w:rPr>
        <w:t xml:space="preserve">• </w:t>
      </w:r>
      <w:r>
        <w:rPr>
          <w:rFonts w:ascii="Times New Roman" w:hAnsi="Times New Roman"/>
          <w:i w:val="0"/>
          <w:color w:val="auto"/>
          <w:sz w:val="26"/>
          <w:szCs w:val="26"/>
        </w:rPr>
        <w:t>3. Về phía kiến trúc GNN: Lớp tổng hợp (Readout) của GNN hiện tại sử dụng phép lấy trung bình toàn cục (Global Mean Pooling) gộp qua các đỉnh cầu thủ, dẫn đến việc thông tin vị trí kết thúc pha bóng bị pha loãng. Ba kiến trúc GCN, GATv2, GraphSAGE hoàn toàn không sử dụng đặc trưng cạnh nên không nhận diện được tọa độ đường chuyền. MPNN là mô hình duy nhất sử dụng đặc trưng cạnh (12 chiều) nên đạt hiệu năng tiệm cận tabular baseline.</w:t>
      </w:r>
    </w:p>
    <w:p w14:paraId="4480C791">
      <w:pPr>
        <w:spacing w:before="0" w:after="80" w:line="276" w:lineRule="auto"/>
        <w:jc w:val="left"/>
        <w:rPr>
          <w:color w:val="auto"/>
          <w:sz w:val="26"/>
          <w:szCs w:val="26"/>
        </w:rPr>
      </w:pPr>
      <w:r>
        <w:rPr>
          <w:rFonts w:ascii="Times New Roman" w:hAnsi="Times New Roman"/>
          <w:b/>
          <w:color w:val="auto"/>
          <w:sz w:val="26"/>
          <w:szCs w:val="26"/>
        </w:rPr>
        <w:t xml:space="preserve">• </w:t>
      </w:r>
      <w:r>
        <w:rPr>
          <w:rFonts w:ascii="Times New Roman" w:hAnsi="Times New Roman"/>
          <w:i w:val="0"/>
          <w:color w:val="auto"/>
          <w:sz w:val="26"/>
          <w:szCs w:val="26"/>
        </w:rPr>
        <w:t>4. Giá trị khoa học cốt lõi của đề tài: Các mô hình dạng bảng phẳng (tabular) triệt tiêu hoàn toàn cấu trúc không gian - thời gian, do đó BẤT KHẢ THI trong việc áp dụng các giải thuật XAI đồ thị (GNNExplainer, PGExplainer) để chỉ ra subgraph đường chuyền then chốt hay tính toán chỉ số Hybrid Centrality cho cầu thủ. MPNN là mô hình duy nhất vừa bảo đảm năng lực dự đoán cạnh tranh, vừa bảo toàn 100% cấu trúc mạng chuyền bóng để phục vụ Bài toán 2.</w:t>
      </w:r>
    </w:p>
    <w:p w14:paraId="0809D61D">
      <w:pPr>
        <w:keepNext/>
        <w:spacing w:before="180" w:after="80"/>
        <w:rPr>
          <w:color w:val="auto"/>
          <w:sz w:val="26"/>
          <w:szCs w:val="26"/>
        </w:rPr>
      </w:pPr>
      <w:r>
        <w:rPr>
          <w:rFonts w:ascii="Times New Roman" w:hAnsi="Times New Roman"/>
          <w:b/>
          <w:color w:val="auto"/>
          <w:sz w:val="26"/>
          <w:szCs w:val="26"/>
        </w:rPr>
        <w:t>1.2. Đính chính lỗi báo cáo số liệu trong báo cáo ngày 11/10/2026</w:t>
      </w:r>
    </w:p>
    <w:p w14:paraId="470DBB8F">
      <w:pPr>
        <w:spacing w:before="0" w:after="80" w:line="276" w:lineRule="auto"/>
        <w:jc w:val="left"/>
        <w:rPr>
          <w:color w:val="auto"/>
          <w:sz w:val="26"/>
          <w:szCs w:val="26"/>
        </w:rPr>
      </w:pPr>
      <w:r>
        <w:rPr>
          <w:rFonts w:ascii="Times New Roman" w:hAnsi="Times New Roman"/>
          <w:i w:val="0"/>
          <w:color w:val="auto"/>
          <w:sz w:val="26"/>
          <w:szCs w:val="26"/>
        </w:rPr>
        <w:t>Nhóm xin nghiêm túc đính chính hai điểm sai sót trong báo cáo ngày 11/10:</w:t>
      </w:r>
    </w:p>
    <w:p w14:paraId="71D65A94">
      <w:pPr>
        <w:spacing w:before="0" w:after="80" w:line="276" w:lineRule="auto"/>
        <w:jc w:val="left"/>
        <w:rPr>
          <w:color w:val="auto"/>
          <w:sz w:val="26"/>
          <w:szCs w:val="26"/>
        </w:rPr>
      </w:pPr>
      <w:r>
        <w:rPr>
          <w:rFonts w:ascii="Times New Roman" w:hAnsi="Times New Roman"/>
          <w:b/>
          <w:color w:val="auto"/>
          <w:sz w:val="26"/>
          <w:szCs w:val="26"/>
        </w:rPr>
        <w:t xml:space="preserve">1. Đính chính số lượng đặc trưng baseline dạng bảng: </w:t>
      </w:r>
      <w:r>
        <w:rPr>
          <w:rFonts w:ascii="Times New Roman" w:hAnsi="Times New Roman"/>
          <w:i w:val="0"/>
          <w:color w:val="auto"/>
          <w:sz w:val="26"/>
          <w:szCs w:val="26"/>
        </w:rPr>
        <w:t>Báo cáo ngày 11/10 ghi rằng các baseline phi đồ thị được huấn luyện trên '16 đặc trưng passing path'. Thực tế, theo đúng cấu hình tại configs/model/baseline_tabular.yaml và mã nguồn trích xuất dữ liệu, nhóm chỉ sử dụng đúng 10 đặc trưng dạng bảng: n_passes, n_players_involved, sequence_length, mean_pass_distance, mean_pass_angle, duration, start_x, start_y, final_x, final_y. Con số 16 là sự nhầm lẫn với một cấu hình thử nghiệm dự thảo trước đó.</w:t>
      </w:r>
    </w:p>
    <w:p w14:paraId="099A2C01">
      <w:pPr>
        <w:spacing w:before="0" w:after="80" w:line="276" w:lineRule="auto"/>
        <w:jc w:val="left"/>
        <w:rPr>
          <w:color w:val="auto"/>
          <w:sz w:val="26"/>
          <w:szCs w:val="26"/>
        </w:rPr>
      </w:pPr>
      <w:r>
        <w:rPr>
          <w:rFonts w:ascii="Times New Roman" w:hAnsi="Times New Roman"/>
          <w:b/>
          <w:color w:val="auto"/>
          <w:sz w:val="26"/>
          <w:szCs w:val="26"/>
        </w:rPr>
        <w:t xml:space="preserve">2. Đính chính giao thức huấn luyện (1 seed vs 5 seeds): </w:t>
      </w:r>
      <w:r>
        <w:rPr>
          <w:rFonts w:ascii="Times New Roman" w:hAnsi="Times New Roman"/>
          <w:i w:val="0"/>
          <w:color w:val="auto"/>
          <w:sz w:val="26"/>
          <w:szCs w:val="26"/>
        </w:rPr>
        <w:t xml:space="preserve">Bảng 3 trong báo cáo 11/10 là kết quả của một lần chạy ngẫu nhiên duy nhất (single seed = 42). Việc báo cáo trên một seed làm gia tăng phương sai ngẫu nhiên và không phản ánh đúng phân phối thống kê của mô hình. Trong báo cáo tuần này, toàn bộ kết quả đã được chuẩn hóa lại theo giao thức 5 seeds ngẫu nhiên (42, 123, 456, 789, </w:t>
      </w:r>
      <w:r>
        <w:rPr>
          <w:rFonts w:hint="default" w:ascii="Times New Roman" w:hAnsi="Times New Roman"/>
          <w:i w:val="0"/>
          <w:color w:val="auto"/>
          <w:sz w:val="26"/>
          <w:szCs w:val="26"/>
          <w:lang w:val="en-US"/>
        </w:rPr>
        <w:t>1024</w:t>
      </w:r>
      <w:r>
        <w:rPr>
          <w:rFonts w:ascii="Times New Roman" w:hAnsi="Times New Roman"/>
          <w:i w:val="0"/>
          <w:color w:val="auto"/>
          <w:sz w:val="26"/>
          <w:szCs w:val="26"/>
        </w:rPr>
        <w:t>) kèm khoảng tin cậy 95% (95% CI) và kiểm định giả thuyết thống kê nghiêm ngặt.</w:t>
      </w:r>
    </w:p>
    <w:p w14:paraId="747CB183">
      <w:pPr>
        <w:keepNext/>
        <w:spacing w:before="180" w:after="80"/>
        <w:rPr>
          <w:color w:val="auto"/>
          <w:sz w:val="26"/>
          <w:szCs w:val="26"/>
        </w:rPr>
      </w:pPr>
      <w:r>
        <w:rPr>
          <w:rFonts w:ascii="Times New Roman" w:hAnsi="Times New Roman"/>
          <w:b/>
          <w:color w:val="auto"/>
          <w:sz w:val="26"/>
          <w:szCs w:val="26"/>
        </w:rPr>
        <w:t>1.3. Luận giải khoa học: Tại sao nhóm phi đồ thị từng có điểm số cao hơn?</w:t>
      </w:r>
    </w:p>
    <w:p w14:paraId="124830A2">
      <w:pPr>
        <w:spacing w:before="0" w:after="80" w:line="276" w:lineRule="auto"/>
        <w:jc w:val="left"/>
        <w:rPr>
          <w:color w:val="auto"/>
          <w:sz w:val="26"/>
          <w:szCs w:val="26"/>
        </w:rPr>
      </w:pPr>
      <w:r>
        <w:rPr>
          <w:rFonts w:ascii="Times New Roman" w:hAnsi="Times New Roman"/>
          <w:i w:val="0"/>
          <w:color w:val="auto"/>
          <w:sz w:val="26"/>
          <w:szCs w:val="26"/>
        </w:rPr>
        <w:t>Để làm sáng tỏ bản chất học máy của bài toán, nhóm đã tiến hành phân tích sâu cơ chế trích xuất đặc trưng giữa hai hướng tiếp cận:</w:t>
      </w:r>
    </w:p>
    <w:p w14:paraId="04A6CFC2">
      <w:pPr>
        <w:spacing w:before="0" w:after="80" w:line="276" w:lineRule="auto"/>
        <w:jc w:val="left"/>
        <w:rPr>
          <w:color w:val="auto"/>
          <w:sz w:val="26"/>
          <w:szCs w:val="26"/>
        </w:rPr>
      </w:pPr>
      <w:r>
        <w:rPr>
          <w:rFonts w:ascii="Times New Roman" w:hAnsi="Times New Roman"/>
          <w:b/>
          <w:color w:val="auto"/>
          <w:sz w:val="26"/>
          <w:szCs w:val="26"/>
        </w:rPr>
        <w:t xml:space="preserve">a) Tín hiệu cực mạnh từ đặc trưng điểm cuối (final_x, final_y): </w:t>
      </w:r>
      <w:r>
        <w:rPr>
          <w:rFonts w:ascii="Times New Roman" w:hAnsi="Times New Roman"/>
          <w:i w:val="0"/>
          <w:color w:val="auto"/>
          <w:sz w:val="26"/>
          <w:szCs w:val="26"/>
        </w:rPr>
        <w:t>Trong bóng đá, xác suất một pha bóng dẫn đến bàn thắng/cú sút phụ thuộc cực kỳ lớn vào vị trí kết thúc pha bóng (khoảng cách và góc sút tới khung thành). Do pipeline áp dụng quy tắc cắt chuỗi tại cú sút đầu tiên (truncate_at_first_shot: true), đường chuyền cuối cùng của một pha bóng có nhãn dương chính là đường chuyền dứt điểm. Tọa độ điểm nhận bóng (final_x, final_y) tập trung sát vòng cấm đối phương: giá trị trung vị của final_x ở các pha bóng có sút là 101,2 m (sân dài 120 m), với 44,6% đường chuyền rơi thẳng vào vòng 16m50, so với chỉ 73,7 m và 4,6% ở các pha bóng không có sút. Baseline dạng bảng được người làm dữ liệu 'mớm sẵn' trực tiếp 2 cột số này, cho phép các cây quyết định trong Random Forest chia nhánh cực nhanh mà không cần học bất kỳ cấu trúc phối hợp nào.</w:t>
      </w:r>
    </w:p>
    <w:p w14:paraId="751F8C06">
      <w:pPr>
        <w:spacing w:before="0" w:after="80" w:line="276" w:lineRule="auto"/>
        <w:jc w:val="left"/>
        <w:rPr>
          <w:color w:val="auto"/>
          <w:sz w:val="26"/>
          <w:szCs w:val="26"/>
        </w:rPr>
      </w:pPr>
      <w:r>
        <w:rPr>
          <w:rFonts w:ascii="Times New Roman" w:hAnsi="Times New Roman"/>
          <w:b/>
          <w:color w:val="auto"/>
          <w:sz w:val="26"/>
          <w:szCs w:val="26"/>
        </w:rPr>
        <w:t xml:space="preserve">b) Hạn chế của phép tổng hợp Readout trong GNN: </w:t>
      </w:r>
      <w:r>
        <w:rPr>
          <w:rFonts w:ascii="Times New Roman" w:hAnsi="Times New Roman"/>
          <w:i w:val="0"/>
          <w:color w:val="auto"/>
          <w:sz w:val="26"/>
          <w:szCs w:val="26"/>
        </w:rPr>
        <w:t>Kiến trúc GNN hiện tại tổng hợp biểu diễn từ các đỉnh cầu thủ thông qua lớp Global Mean Pooling (tính trung bình cộng embedding của khoảng 5 cầu thủ tham gia pha bóng). Việc lấy trung bình cộng làm tín hiệu về vị trí kết thúc pha bóng bị pha loãng trên toàn bộ đội hình. Mặt khác, ba kiến trúc GCN, GATv2, GraphSAGE chỉ truyền tin qua ma trận kề đỉnh, hoàn toàn 'mù' trước các thuộc tính cạnh (tọa độ đường chuyền, cự ly, góc chuyền). Do đó, ba mô hình này có AUC-PR thấp hơn đáng kể (0,45 – 0,51).</w:t>
      </w:r>
    </w:p>
    <w:p w14:paraId="0997E530">
      <w:pPr>
        <w:spacing w:before="0" w:after="80" w:line="276" w:lineRule="auto"/>
        <w:jc w:val="left"/>
        <w:rPr>
          <w:color w:val="auto"/>
          <w:sz w:val="26"/>
          <w:szCs w:val="26"/>
        </w:rPr>
      </w:pPr>
      <w:r>
        <w:rPr>
          <w:rFonts w:ascii="Times New Roman" w:hAnsi="Times New Roman"/>
          <w:b/>
          <w:color w:val="auto"/>
          <w:sz w:val="26"/>
          <w:szCs w:val="26"/>
        </w:rPr>
        <w:t xml:space="preserve">c) MPNN là mô hình duy nhất khai thác được hình học cạnh: </w:t>
      </w:r>
      <w:r>
        <w:rPr>
          <w:rFonts w:ascii="Times New Roman" w:hAnsi="Times New Roman"/>
          <w:i w:val="0"/>
          <w:color w:val="auto"/>
          <w:sz w:val="26"/>
          <w:szCs w:val="26"/>
        </w:rPr>
        <w:t>MPNN sử dụng lớp tích chập NNConv, trong đó thông điệp truyền giữa hai cầu thủ được điều kiện hóa bởi một mạng nơ-ron phụ nhận đầu vào là 12 đặc trưng cạnh. Nhờ tiếp nhận tọa độ từng đường chuyền trong không gian 2D, MPNN đạt AUC-PR 0,600, bám sát Random Forest (0,620) và vượt xa các mô hình GNN còn lại.</w:t>
      </w:r>
    </w:p>
    <w:p w14:paraId="693963EF">
      <w:pPr>
        <w:keepNext/>
        <w:spacing w:before="180" w:after="80"/>
        <w:rPr>
          <w:color w:val="auto"/>
          <w:sz w:val="26"/>
          <w:szCs w:val="26"/>
        </w:rPr>
      </w:pPr>
      <w:r>
        <w:rPr>
          <w:rFonts w:ascii="Times New Roman" w:hAnsi="Times New Roman"/>
          <w:b/>
          <w:color w:val="auto"/>
          <w:sz w:val="26"/>
          <w:szCs w:val="26"/>
        </w:rPr>
        <w:t>1.4. Thí nghiệm kiểm chứng: Ablation Study đặc trưng baseline phi đồ thị</w:t>
      </w:r>
    </w:p>
    <w:p w14:paraId="334C47E0">
      <w:pPr>
        <w:spacing w:before="0" w:after="80" w:line="276" w:lineRule="auto"/>
        <w:jc w:val="left"/>
        <w:rPr>
          <w:color w:val="auto"/>
          <w:sz w:val="26"/>
          <w:szCs w:val="26"/>
        </w:rPr>
      </w:pPr>
      <w:r>
        <w:rPr>
          <w:rFonts w:ascii="Times New Roman" w:hAnsi="Times New Roman"/>
          <w:i w:val="0"/>
          <w:color w:val="auto"/>
          <w:sz w:val="26"/>
          <w:szCs w:val="26"/>
        </w:rPr>
        <w:t>Để chứng minh một cách khoa học rằng 'nhóm phi đồ thị không hề học tốt hơn cấu trúc pha bóng mà chỉ dựa vào đặc trưng điểm cuối', nhóm đã thực hiện thí nghiệm bóc tách đặc trưng (Feature Ablation Study) trên cùng tập Test độc lập (6.646 đồ thị, 57 trận, 5 seeds). Script thực nghiệm: scripts/06c_baseline_feature_ablation.py, kết quả lưu chính thức tại results/tables/official/baseline_feature_ablation.csv.</w:t>
      </w:r>
    </w:p>
    <w:tbl>
      <w:tblPr>
        <w:tblStyle w:val="12"/>
        <w:tblW w:w="0" w:type="auto"/>
        <w:jc w:val="center"/>
        <w:tblLayout w:type="fixed"/>
        <w:tblCellMar>
          <w:top w:w="0" w:type="dxa"/>
          <w:left w:w="108" w:type="dxa"/>
          <w:bottom w:w="0" w:type="dxa"/>
          <w:right w:w="108" w:type="dxa"/>
        </w:tblCellMar>
      </w:tblPr>
      <w:tblGrid>
        <w:gridCol w:w="1950"/>
        <w:gridCol w:w="1950"/>
        <w:gridCol w:w="1950"/>
        <w:gridCol w:w="1950"/>
        <w:gridCol w:w="1950"/>
      </w:tblGrid>
      <w:tr w14:paraId="146B3192">
        <w:tblPrEx>
          <w:tblCellMar>
            <w:top w:w="0" w:type="dxa"/>
            <w:left w:w="108" w:type="dxa"/>
            <w:bottom w:w="0" w:type="dxa"/>
            <w:right w:w="108" w:type="dxa"/>
          </w:tblCellMar>
        </w:tblPrEx>
        <w:trPr>
          <w:tblHeader/>
          <w:jc w:val="center"/>
        </w:trPr>
        <w:tc>
          <w:tcPr>
            <w:tcW w:w="3600"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3AE42B09">
            <w:pPr>
              <w:spacing w:before="40" w:after="40"/>
              <w:jc w:val="center"/>
              <w:rPr>
                <w:color w:val="auto"/>
                <w:sz w:val="26"/>
                <w:szCs w:val="26"/>
              </w:rPr>
            </w:pPr>
            <w:r>
              <w:rPr>
                <w:rFonts w:ascii="Times New Roman" w:hAnsi="Times New Roman"/>
                <w:b/>
                <w:color w:val="auto"/>
                <w:sz w:val="26"/>
                <w:szCs w:val="26"/>
              </w:rPr>
              <w:t>Tập đặc trưng thực nghiệm</w:t>
            </w:r>
          </w:p>
        </w:tc>
        <w:tc>
          <w:tcPr>
            <w:tcW w:w="1152"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3E94D71F">
            <w:pPr>
              <w:spacing w:before="40" w:after="40"/>
              <w:jc w:val="center"/>
              <w:rPr>
                <w:color w:val="auto"/>
                <w:sz w:val="26"/>
                <w:szCs w:val="26"/>
              </w:rPr>
            </w:pPr>
            <w:r>
              <w:rPr>
                <w:rFonts w:ascii="Times New Roman" w:hAnsi="Times New Roman"/>
                <w:b/>
                <w:color w:val="auto"/>
                <w:sz w:val="26"/>
                <w:szCs w:val="26"/>
              </w:rPr>
              <w:t>Số chiều</w:t>
            </w:r>
          </w:p>
        </w:tc>
        <w:tc>
          <w:tcPr>
            <w:tcW w:w="1584"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776DDAE7">
            <w:pPr>
              <w:spacing w:before="40" w:after="40"/>
              <w:jc w:val="center"/>
              <w:rPr>
                <w:color w:val="auto"/>
                <w:sz w:val="26"/>
                <w:szCs w:val="26"/>
              </w:rPr>
            </w:pPr>
            <w:r>
              <w:rPr>
                <w:rFonts w:ascii="Times New Roman" w:hAnsi="Times New Roman"/>
                <w:b/>
                <w:color w:val="auto"/>
                <w:sz w:val="26"/>
                <w:szCs w:val="26"/>
              </w:rPr>
              <w:t>Logistic Reg.</w:t>
            </w:r>
          </w:p>
        </w:tc>
        <w:tc>
          <w:tcPr>
            <w:tcW w:w="1584"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7659FF0F">
            <w:pPr>
              <w:spacing w:before="40" w:after="40"/>
              <w:jc w:val="center"/>
              <w:rPr>
                <w:color w:val="auto"/>
                <w:sz w:val="26"/>
                <w:szCs w:val="26"/>
              </w:rPr>
            </w:pPr>
            <w:r>
              <w:rPr>
                <w:rFonts w:ascii="Times New Roman" w:hAnsi="Times New Roman"/>
                <w:b/>
                <w:color w:val="auto"/>
                <w:sz w:val="26"/>
                <w:szCs w:val="26"/>
              </w:rPr>
              <w:t>Random Forest</w:t>
            </w:r>
          </w:p>
        </w:tc>
        <w:tc>
          <w:tcPr>
            <w:tcW w:w="1584"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118F3538">
            <w:pPr>
              <w:spacing w:before="40" w:after="40"/>
              <w:jc w:val="center"/>
              <w:rPr>
                <w:color w:val="auto"/>
                <w:sz w:val="26"/>
                <w:szCs w:val="26"/>
              </w:rPr>
            </w:pPr>
            <w:r>
              <w:rPr>
                <w:rFonts w:ascii="Times New Roman" w:hAnsi="Times New Roman"/>
                <w:b/>
                <w:color w:val="auto"/>
                <w:sz w:val="26"/>
                <w:szCs w:val="26"/>
              </w:rPr>
              <w:t>ANN (MLP)</w:t>
            </w:r>
          </w:p>
        </w:tc>
      </w:tr>
      <w:tr w14:paraId="1228A825">
        <w:tblPrEx>
          <w:tblCellMar>
            <w:top w:w="0" w:type="dxa"/>
            <w:left w:w="108" w:type="dxa"/>
            <w:bottom w:w="0" w:type="dxa"/>
            <w:right w:w="108" w:type="dxa"/>
          </w:tblCellMar>
        </w:tblPrEx>
        <w:trPr>
          <w:jc w:val="center"/>
        </w:trPr>
        <w:tc>
          <w:tcPr>
            <w:tcW w:w="3600"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01FBE9BD">
            <w:pPr>
              <w:spacing w:before="20" w:after="20"/>
              <w:jc w:val="center"/>
              <w:rPr>
                <w:color w:val="auto"/>
                <w:sz w:val="26"/>
                <w:szCs w:val="26"/>
              </w:rPr>
            </w:pPr>
            <w:r>
              <w:rPr>
                <w:rFonts w:ascii="Times New Roman" w:hAnsi="Times New Roman"/>
                <w:b/>
                <w:color w:val="auto"/>
                <w:sz w:val="26"/>
                <w:szCs w:val="26"/>
              </w:rPr>
              <w:t>A — Đầy đủ (như báo cáo)</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5E3A7936">
            <w:pPr>
              <w:spacing w:before="20" w:after="20"/>
              <w:jc w:val="center"/>
              <w:rPr>
                <w:color w:val="auto"/>
                <w:sz w:val="26"/>
                <w:szCs w:val="26"/>
              </w:rPr>
            </w:pPr>
            <w:r>
              <w:rPr>
                <w:rFonts w:ascii="Times New Roman" w:hAnsi="Times New Roman"/>
                <w:color w:val="auto"/>
                <w:sz w:val="26"/>
                <w:szCs w:val="26"/>
              </w:rPr>
              <w:t>10</w:t>
            </w:r>
          </w:p>
        </w:tc>
        <w:tc>
          <w:tcPr>
            <w:tcW w:w="158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1B22F2C5">
            <w:pPr>
              <w:spacing w:before="20" w:after="20"/>
              <w:jc w:val="center"/>
              <w:rPr>
                <w:color w:val="auto"/>
                <w:sz w:val="26"/>
                <w:szCs w:val="26"/>
              </w:rPr>
            </w:pPr>
            <w:r>
              <w:rPr>
                <w:rFonts w:ascii="Times New Roman" w:hAnsi="Times New Roman"/>
                <w:color w:val="auto"/>
                <w:sz w:val="26"/>
                <w:szCs w:val="26"/>
              </w:rPr>
              <w:t>0,338</w:t>
            </w:r>
          </w:p>
        </w:tc>
        <w:tc>
          <w:tcPr>
            <w:tcW w:w="158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6EA561CE">
            <w:pPr>
              <w:spacing w:before="20" w:after="20"/>
              <w:jc w:val="center"/>
              <w:rPr>
                <w:color w:val="auto"/>
                <w:sz w:val="26"/>
                <w:szCs w:val="26"/>
              </w:rPr>
            </w:pPr>
            <w:r>
              <w:rPr>
                <w:rFonts w:ascii="Times New Roman" w:hAnsi="Times New Roman"/>
                <w:color w:val="auto"/>
                <w:sz w:val="26"/>
                <w:szCs w:val="26"/>
              </w:rPr>
              <w:t>0,620</w:t>
            </w:r>
          </w:p>
        </w:tc>
        <w:tc>
          <w:tcPr>
            <w:tcW w:w="158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4853D5A0">
            <w:pPr>
              <w:spacing w:before="20" w:after="20"/>
              <w:jc w:val="center"/>
              <w:rPr>
                <w:color w:val="auto"/>
                <w:sz w:val="26"/>
                <w:szCs w:val="26"/>
              </w:rPr>
            </w:pPr>
            <w:r>
              <w:rPr>
                <w:rFonts w:ascii="Times New Roman" w:hAnsi="Times New Roman"/>
                <w:color w:val="auto"/>
                <w:sz w:val="26"/>
                <w:szCs w:val="26"/>
              </w:rPr>
              <w:t>0,612</w:t>
            </w:r>
          </w:p>
        </w:tc>
      </w:tr>
      <w:tr w14:paraId="5F43B59B">
        <w:tblPrEx>
          <w:tblCellMar>
            <w:top w:w="0" w:type="dxa"/>
            <w:left w:w="108" w:type="dxa"/>
            <w:bottom w:w="0" w:type="dxa"/>
            <w:right w:w="108" w:type="dxa"/>
          </w:tblCellMar>
        </w:tblPrEx>
        <w:trPr>
          <w:jc w:val="center"/>
        </w:trPr>
        <w:tc>
          <w:tcPr>
            <w:tcW w:w="3600"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67BFEE67">
            <w:pPr>
              <w:spacing w:before="20" w:after="20"/>
              <w:jc w:val="center"/>
              <w:rPr>
                <w:color w:val="auto"/>
                <w:sz w:val="26"/>
                <w:szCs w:val="26"/>
              </w:rPr>
            </w:pPr>
            <w:r>
              <w:rPr>
                <w:rFonts w:ascii="Times New Roman" w:hAnsi="Times New Roman"/>
                <w:color w:val="auto"/>
                <w:sz w:val="26"/>
                <w:szCs w:val="26"/>
              </w:rPr>
              <w:t>B — Bỏ final_x, final_y</w:t>
            </w:r>
          </w:p>
        </w:tc>
        <w:tc>
          <w:tcPr>
            <w:tcW w:w="115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438C1D82">
            <w:pPr>
              <w:spacing w:before="20" w:after="20"/>
              <w:jc w:val="center"/>
              <w:rPr>
                <w:color w:val="auto"/>
                <w:sz w:val="26"/>
                <w:szCs w:val="26"/>
              </w:rPr>
            </w:pPr>
            <w:r>
              <w:rPr>
                <w:rFonts w:ascii="Times New Roman" w:hAnsi="Times New Roman"/>
                <w:color w:val="auto"/>
                <w:sz w:val="26"/>
                <w:szCs w:val="26"/>
              </w:rPr>
              <w:t>8</w:t>
            </w:r>
          </w:p>
        </w:tc>
        <w:tc>
          <w:tcPr>
            <w:tcW w:w="1584"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185EE37D">
            <w:pPr>
              <w:spacing w:before="20" w:after="20"/>
              <w:jc w:val="center"/>
              <w:rPr>
                <w:color w:val="auto"/>
                <w:sz w:val="26"/>
                <w:szCs w:val="26"/>
              </w:rPr>
            </w:pPr>
            <w:r>
              <w:rPr>
                <w:rFonts w:ascii="Times New Roman" w:hAnsi="Times New Roman"/>
                <w:color w:val="auto"/>
                <w:sz w:val="26"/>
                <w:szCs w:val="26"/>
              </w:rPr>
              <w:t>0,190</w:t>
            </w:r>
          </w:p>
        </w:tc>
        <w:tc>
          <w:tcPr>
            <w:tcW w:w="1584"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1F32F2B3">
            <w:pPr>
              <w:spacing w:before="20" w:after="20"/>
              <w:jc w:val="center"/>
              <w:rPr>
                <w:color w:val="auto"/>
                <w:sz w:val="26"/>
                <w:szCs w:val="26"/>
              </w:rPr>
            </w:pPr>
            <w:r>
              <w:rPr>
                <w:rFonts w:ascii="Times New Roman" w:hAnsi="Times New Roman"/>
                <w:color w:val="auto"/>
                <w:sz w:val="26"/>
                <w:szCs w:val="26"/>
              </w:rPr>
              <w:t>0,268</w:t>
            </w:r>
          </w:p>
        </w:tc>
        <w:tc>
          <w:tcPr>
            <w:tcW w:w="1584"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72386B2D">
            <w:pPr>
              <w:spacing w:before="20" w:after="20"/>
              <w:jc w:val="center"/>
              <w:rPr>
                <w:color w:val="auto"/>
                <w:sz w:val="26"/>
                <w:szCs w:val="26"/>
              </w:rPr>
            </w:pPr>
            <w:r>
              <w:rPr>
                <w:rFonts w:ascii="Times New Roman" w:hAnsi="Times New Roman"/>
                <w:color w:val="auto"/>
                <w:sz w:val="26"/>
                <w:szCs w:val="26"/>
              </w:rPr>
              <w:t>0,271</w:t>
            </w:r>
          </w:p>
        </w:tc>
      </w:tr>
      <w:tr w14:paraId="3629B385">
        <w:tblPrEx>
          <w:tblCellMar>
            <w:top w:w="0" w:type="dxa"/>
            <w:left w:w="108" w:type="dxa"/>
            <w:bottom w:w="0" w:type="dxa"/>
            <w:right w:w="108" w:type="dxa"/>
          </w:tblCellMar>
        </w:tblPrEx>
        <w:trPr>
          <w:jc w:val="center"/>
        </w:trPr>
        <w:tc>
          <w:tcPr>
            <w:tcW w:w="3600"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3E16E7FA">
            <w:pPr>
              <w:spacing w:before="20" w:after="20"/>
              <w:jc w:val="center"/>
              <w:rPr>
                <w:color w:val="auto"/>
                <w:sz w:val="26"/>
                <w:szCs w:val="26"/>
              </w:rPr>
            </w:pPr>
            <w:r>
              <w:rPr>
                <w:rFonts w:ascii="Times New Roman" w:hAnsi="Times New Roman"/>
                <w:color w:val="auto"/>
                <w:sz w:val="26"/>
                <w:szCs w:val="26"/>
              </w:rPr>
              <w:t>C — Bỏ cả tọa độ đầu và cuối</w:t>
            </w:r>
          </w:p>
        </w:tc>
        <w:tc>
          <w:tcPr>
            <w:tcW w:w="115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45202A10">
            <w:pPr>
              <w:spacing w:before="20" w:after="20"/>
              <w:jc w:val="center"/>
              <w:rPr>
                <w:color w:val="auto"/>
                <w:sz w:val="26"/>
                <w:szCs w:val="26"/>
              </w:rPr>
            </w:pPr>
            <w:r>
              <w:rPr>
                <w:rFonts w:ascii="Times New Roman" w:hAnsi="Times New Roman"/>
                <w:color w:val="auto"/>
                <w:sz w:val="26"/>
                <w:szCs w:val="26"/>
              </w:rPr>
              <w:t>6</w:t>
            </w:r>
          </w:p>
        </w:tc>
        <w:tc>
          <w:tcPr>
            <w:tcW w:w="1584"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463CF683">
            <w:pPr>
              <w:spacing w:before="20" w:after="20"/>
              <w:jc w:val="center"/>
              <w:rPr>
                <w:color w:val="auto"/>
                <w:sz w:val="26"/>
                <w:szCs w:val="26"/>
              </w:rPr>
            </w:pPr>
            <w:r>
              <w:rPr>
                <w:rFonts w:ascii="Times New Roman" w:hAnsi="Times New Roman"/>
                <w:color w:val="auto"/>
                <w:sz w:val="26"/>
                <w:szCs w:val="26"/>
              </w:rPr>
              <w:t>0,166</w:t>
            </w:r>
          </w:p>
        </w:tc>
        <w:tc>
          <w:tcPr>
            <w:tcW w:w="1584"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78557726">
            <w:pPr>
              <w:spacing w:before="20" w:after="20"/>
              <w:jc w:val="center"/>
              <w:rPr>
                <w:color w:val="auto"/>
                <w:sz w:val="26"/>
                <w:szCs w:val="26"/>
              </w:rPr>
            </w:pPr>
            <w:r>
              <w:rPr>
                <w:rFonts w:ascii="Times New Roman" w:hAnsi="Times New Roman"/>
                <w:color w:val="auto"/>
                <w:sz w:val="26"/>
                <w:szCs w:val="26"/>
              </w:rPr>
              <w:t>0,168</w:t>
            </w:r>
          </w:p>
        </w:tc>
        <w:tc>
          <w:tcPr>
            <w:tcW w:w="1584"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6FA9F919">
            <w:pPr>
              <w:spacing w:before="20" w:after="20"/>
              <w:jc w:val="center"/>
              <w:rPr>
                <w:color w:val="auto"/>
                <w:sz w:val="26"/>
                <w:szCs w:val="26"/>
              </w:rPr>
            </w:pPr>
            <w:r>
              <w:rPr>
                <w:rFonts w:ascii="Times New Roman" w:hAnsi="Times New Roman"/>
                <w:color w:val="auto"/>
                <w:sz w:val="26"/>
                <w:szCs w:val="26"/>
              </w:rPr>
              <w:t>0,186</w:t>
            </w:r>
          </w:p>
        </w:tc>
      </w:tr>
      <w:tr w14:paraId="7C61B8BB">
        <w:tblPrEx>
          <w:tblCellMar>
            <w:top w:w="0" w:type="dxa"/>
            <w:left w:w="108" w:type="dxa"/>
            <w:bottom w:w="0" w:type="dxa"/>
            <w:right w:w="108" w:type="dxa"/>
          </w:tblCellMar>
        </w:tblPrEx>
        <w:trPr>
          <w:jc w:val="center"/>
        </w:trPr>
        <w:tc>
          <w:tcPr>
            <w:tcW w:w="3600"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0BEC3D91">
            <w:pPr>
              <w:spacing w:before="20" w:after="20"/>
              <w:jc w:val="center"/>
              <w:rPr>
                <w:color w:val="auto"/>
                <w:sz w:val="26"/>
                <w:szCs w:val="26"/>
              </w:rPr>
            </w:pPr>
            <w:r>
              <w:rPr>
                <w:rFonts w:ascii="Times New Roman" w:hAnsi="Times New Roman"/>
                <w:color w:val="auto"/>
                <w:sz w:val="26"/>
                <w:szCs w:val="26"/>
              </w:rPr>
              <w:t>D — Chỉ giữ duy nhất final_x, final_y</w:t>
            </w:r>
          </w:p>
        </w:tc>
        <w:tc>
          <w:tcPr>
            <w:tcW w:w="115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2B3FD89E">
            <w:pPr>
              <w:spacing w:before="20" w:after="20"/>
              <w:jc w:val="center"/>
              <w:rPr>
                <w:color w:val="auto"/>
                <w:sz w:val="26"/>
                <w:szCs w:val="26"/>
              </w:rPr>
            </w:pPr>
            <w:r>
              <w:rPr>
                <w:rFonts w:ascii="Times New Roman" w:hAnsi="Times New Roman"/>
                <w:color w:val="auto"/>
                <w:sz w:val="26"/>
                <w:szCs w:val="26"/>
              </w:rPr>
              <w:t>2</w:t>
            </w:r>
          </w:p>
        </w:tc>
        <w:tc>
          <w:tcPr>
            <w:tcW w:w="1584"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4C1D22E2">
            <w:pPr>
              <w:spacing w:before="20" w:after="20"/>
              <w:jc w:val="center"/>
              <w:rPr>
                <w:color w:val="auto"/>
                <w:sz w:val="26"/>
                <w:szCs w:val="26"/>
              </w:rPr>
            </w:pPr>
            <w:r>
              <w:rPr>
                <w:rFonts w:ascii="Times New Roman" w:hAnsi="Times New Roman"/>
                <w:color w:val="auto"/>
                <w:sz w:val="26"/>
                <w:szCs w:val="26"/>
              </w:rPr>
              <w:t>0,332</w:t>
            </w:r>
          </w:p>
        </w:tc>
        <w:tc>
          <w:tcPr>
            <w:tcW w:w="1584"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466947CD">
            <w:pPr>
              <w:spacing w:before="20" w:after="20"/>
              <w:jc w:val="center"/>
              <w:rPr>
                <w:color w:val="auto"/>
                <w:sz w:val="26"/>
                <w:szCs w:val="26"/>
              </w:rPr>
            </w:pPr>
            <w:r>
              <w:rPr>
                <w:rFonts w:ascii="Times New Roman" w:hAnsi="Times New Roman"/>
                <w:color w:val="auto"/>
                <w:sz w:val="26"/>
                <w:szCs w:val="26"/>
              </w:rPr>
              <w:t>0,534</w:t>
            </w:r>
          </w:p>
        </w:tc>
        <w:tc>
          <w:tcPr>
            <w:tcW w:w="1584"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12746495">
            <w:pPr>
              <w:spacing w:before="20" w:after="20"/>
              <w:jc w:val="center"/>
              <w:rPr>
                <w:color w:val="auto"/>
                <w:sz w:val="26"/>
                <w:szCs w:val="26"/>
              </w:rPr>
            </w:pPr>
            <w:r>
              <w:rPr>
                <w:rFonts w:ascii="Times New Roman" w:hAnsi="Times New Roman"/>
                <w:color w:val="auto"/>
                <w:sz w:val="26"/>
                <w:szCs w:val="26"/>
              </w:rPr>
              <w:t>0,623</w:t>
            </w:r>
          </w:p>
        </w:tc>
      </w:tr>
      <w:tr w14:paraId="38C48C4E">
        <w:tblPrEx>
          <w:tblCellMar>
            <w:top w:w="0" w:type="dxa"/>
            <w:left w:w="108" w:type="dxa"/>
            <w:bottom w:w="0" w:type="dxa"/>
            <w:right w:w="108" w:type="dxa"/>
          </w:tblCellMar>
        </w:tblPrEx>
        <w:trPr>
          <w:jc w:val="center"/>
        </w:trPr>
        <w:tc>
          <w:tcPr>
            <w:tcW w:w="3600"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613BD68C">
            <w:pPr>
              <w:spacing w:before="20" w:after="20"/>
              <w:jc w:val="center"/>
              <w:rPr>
                <w:color w:val="auto"/>
                <w:sz w:val="26"/>
                <w:szCs w:val="26"/>
              </w:rPr>
            </w:pPr>
            <w:r>
              <w:rPr>
                <w:rFonts w:ascii="Times New Roman" w:hAnsi="Times New Roman"/>
                <w:b/>
                <w:color w:val="auto"/>
                <w:sz w:val="26"/>
                <w:szCs w:val="26"/>
              </w:rPr>
              <w:t>Tham chiếu: GNN thấp nhất (GCN) / MPNN</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36C7F991">
            <w:pPr>
              <w:spacing w:before="20" w:after="20"/>
              <w:jc w:val="center"/>
              <w:rPr>
                <w:color w:val="auto"/>
                <w:sz w:val="26"/>
                <w:szCs w:val="26"/>
              </w:rPr>
            </w:pPr>
            <w:r>
              <w:rPr>
                <w:rFonts w:ascii="Times New Roman" w:hAnsi="Times New Roman"/>
                <w:color w:val="auto"/>
                <w:sz w:val="26"/>
                <w:szCs w:val="26"/>
              </w:rPr>
              <w:t>Đồ thị</w:t>
            </w:r>
          </w:p>
        </w:tc>
        <w:tc>
          <w:tcPr>
            <w:tcW w:w="158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47EB7EC0">
            <w:pPr>
              <w:spacing w:before="20" w:after="20"/>
              <w:jc w:val="center"/>
              <w:rPr>
                <w:color w:val="auto"/>
                <w:sz w:val="26"/>
                <w:szCs w:val="26"/>
              </w:rPr>
            </w:pPr>
            <w:r>
              <w:rPr>
                <w:rFonts w:ascii="Times New Roman" w:hAnsi="Times New Roman"/>
                <w:color w:val="auto"/>
                <w:sz w:val="26"/>
                <w:szCs w:val="26"/>
              </w:rPr>
              <w:t>—</w:t>
            </w:r>
          </w:p>
        </w:tc>
        <w:tc>
          <w:tcPr>
            <w:tcW w:w="158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3329498A">
            <w:pPr>
              <w:spacing w:before="20" w:after="20"/>
              <w:jc w:val="center"/>
              <w:rPr>
                <w:color w:val="auto"/>
                <w:sz w:val="26"/>
                <w:szCs w:val="26"/>
              </w:rPr>
            </w:pPr>
            <w:r>
              <w:rPr>
                <w:rFonts w:ascii="Times New Roman" w:hAnsi="Times New Roman"/>
                <w:color w:val="auto"/>
                <w:sz w:val="26"/>
                <w:szCs w:val="26"/>
              </w:rPr>
              <w:t>0,453</w:t>
            </w:r>
          </w:p>
        </w:tc>
        <w:tc>
          <w:tcPr>
            <w:tcW w:w="158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06D83FAD">
            <w:pPr>
              <w:spacing w:before="20" w:after="20"/>
              <w:jc w:val="center"/>
              <w:rPr>
                <w:color w:val="auto"/>
                <w:sz w:val="26"/>
                <w:szCs w:val="26"/>
              </w:rPr>
            </w:pPr>
            <w:r>
              <w:rPr>
                <w:rFonts w:ascii="Times New Roman" w:hAnsi="Times New Roman"/>
                <w:color w:val="auto"/>
                <w:sz w:val="26"/>
                <w:szCs w:val="26"/>
              </w:rPr>
              <w:t>0,600</w:t>
            </w:r>
          </w:p>
        </w:tc>
      </w:tr>
    </w:tbl>
    <w:p w14:paraId="2CBE3F8F">
      <w:pPr>
        <w:spacing w:before="80" w:after="120"/>
        <w:rPr>
          <w:color w:val="auto"/>
          <w:sz w:val="26"/>
          <w:szCs w:val="26"/>
        </w:rPr>
      </w:pPr>
    </w:p>
    <w:p w14:paraId="1F35F122">
      <w:pPr>
        <w:spacing w:before="0" w:after="120" w:line="276" w:lineRule="auto"/>
        <w:jc w:val="left"/>
        <w:rPr>
          <w:color w:val="auto"/>
          <w:sz w:val="26"/>
          <w:szCs w:val="26"/>
        </w:rPr>
      </w:pPr>
      <w:r>
        <w:rPr>
          <w:rFonts w:ascii="Times New Roman" w:hAnsi="Times New Roman"/>
          <w:i/>
          <w:color w:val="auto"/>
          <w:sz w:val="26"/>
          <w:szCs w:val="26"/>
        </w:rPr>
        <w:t>Bảng 1: Hiệu năng AUC-PR của các mô hình phi đồ thị khi bóc tách đặc trưng (Test set, 5 seeds trung bình)</w:t>
      </w:r>
    </w:p>
    <w:p w14:paraId="50E85FC6">
      <w:pPr>
        <w:spacing w:before="0" w:after="80" w:line="276" w:lineRule="auto"/>
        <w:jc w:val="left"/>
        <w:rPr>
          <w:color w:val="auto"/>
          <w:sz w:val="26"/>
          <w:szCs w:val="26"/>
        </w:rPr>
      </w:pPr>
      <w:r>
        <w:rPr>
          <w:rFonts w:ascii="Times New Roman" w:hAnsi="Times New Roman"/>
          <w:b/>
          <w:color w:val="auto"/>
          <w:sz w:val="26"/>
          <w:szCs w:val="26"/>
        </w:rPr>
        <w:t xml:space="preserve">• Kết quả then chốt 1: </w:t>
      </w:r>
      <w:r>
        <w:rPr>
          <w:rFonts w:ascii="Times New Roman" w:hAnsi="Times New Roman"/>
          <w:i w:val="0"/>
          <w:color w:val="auto"/>
          <w:sz w:val="26"/>
          <w:szCs w:val="26"/>
        </w:rPr>
        <w:t>Khi bỏ đi 2 đặc trưng final_x và final_y (Tập B), AUC-PR của Random Forest lập tức giảm 56,8% (từ 0,620 xuống 0,268); ANN giảm từ 0,612 xuống 0,271. Ở trạng thái này, Random Forest THUA XA MỌI MÔ HÌNH GNN (GCN đạt 0,453; GraphSAGE đạt 0,516; MPNN đạt 0,600).</w:t>
      </w:r>
    </w:p>
    <w:p w14:paraId="4AD0A94D">
      <w:pPr>
        <w:spacing w:before="0" w:after="80" w:line="276" w:lineRule="auto"/>
        <w:jc w:val="left"/>
        <w:rPr>
          <w:color w:val="auto"/>
          <w:sz w:val="26"/>
          <w:szCs w:val="26"/>
        </w:rPr>
      </w:pPr>
      <w:r>
        <w:rPr>
          <w:rFonts w:ascii="Times New Roman" w:hAnsi="Times New Roman"/>
          <w:b/>
          <w:color w:val="auto"/>
          <w:sz w:val="26"/>
          <w:szCs w:val="26"/>
        </w:rPr>
        <w:t xml:space="preserve">• Kết quả then chốt 2: </w:t>
      </w:r>
      <w:r>
        <w:rPr>
          <w:rFonts w:ascii="Times New Roman" w:hAnsi="Times New Roman"/>
          <w:i w:val="0"/>
          <w:color w:val="auto"/>
          <w:sz w:val="26"/>
          <w:szCs w:val="26"/>
        </w:rPr>
        <w:t>Nếu chỉ dùng duy nhất 2 đặc trưng final_x, final_y (Tập D), mô hình ANN vẫn đạt AUC-PR 0,623 (ngang ngửa bộ 10 đặc trưng đầy đủ). Điều này chứng minh toàn bộ 8 đặc trưng passing path còn lại (số đường chuyền, thời lượng, số cầu thủ...) đóng góp gần như không đáng kể.</w:t>
      </w:r>
    </w:p>
    <w:p w14:paraId="2A1B14F4">
      <w:pPr>
        <w:spacing w:before="0" w:after="80" w:line="276" w:lineRule="auto"/>
        <w:jc w:val="left"/>
        <w:rPr>
          <w:color w:val="auto"/>
          <w:sz w:val="26"/>
          <w:szCs w:val="26"/>
        </w:rPr>
      </w:pPr>
      <w:r>
        <w:rPr>
          <w:rFonts w:ascii="Times New Roman" w:hAnsi="Times New Roman"/>
          <w:b/>
          <w:color w:val="auto"/>
          <w:sz w:val="26"/>
          <w:szCs w:val="26"/>
        </w:rPr>
        <w:t xml:space="preserve">• Phân tích Permutation Importance: </w:t>
      </w:r>
      <w:r>
        <w:rPr>
          <w:rFonts w:ascii="Times New Roman" w:hAnsi="Times New Roman"/>
          <w:i w:val="0"/>
          <w:color w:val="auto"/>
          <w:sz w:val="26"/>
          <w:szCs w:val="26"/>
        </w:rPr>
        <w:t>Đo lường mức suy giảm AUC-PR khi hoán vị ngẫu nhiên từng đặc trưng trên tập Validation xác nhận: final_x làm giảm 0,380 AUC-PR, final_y làm giảm 0,319 AUC-PR; trong khi duration, sequence_length chỉ làm giảm dưới 0,02.</w:t>
      </w:r>
    </w:p>
    <w:p w14:paraId="7081E0A4">
      <w:pPr>
        <w:keepNext/>
        <w:spacing w:before="180" w:after="80"/>
        <w:rPr>
          <w:color w:val="auto"/>
          <w:sz w:val="26"/>
          <w:szCs w:val="26"/>
        </w:rPr>
      </w:pPr>
      <w:r>
        <w:rPr>
          <w:rFonts w:ascii="Times New Roman" w:hAnsi="Times New Roman"/>
          <w:b/>
          <w:color w:val="auto"/>
          <w:sz w:val="26"/>
          <w:szCs w:val="26"/>
        </w:rPr>
        <w:t>1.5. Cập nhật Bảng số liệu đối sánh chính thức (5 seeds) &amp; Kiểm định thống kê</w:t>
      </w:r>
    </w:p>
    <w:p w14:paraId="419B797B">
      <w:pPr>
        <w:spacing w:before="0" w:after="80" w:line="276" w:lineRule="auto"/>
        <w:jc w:val="left"/>
        <w:rPr>
          <w:color w:val="auto"/>
          <w:sz w:val="26"/>
          <w:szCs w:val="26"/>
        </w:rPr>
      </w:pPr>
      <w:r>
        <w:rPr>
          <w:rFonts w:ascii="Times New Roman" w:hAnsi="Times New Roman"/>
          <w:i w:val="0"/>
          <w:color w:val="auto"/>
          <w:sz w:val="26"/>
          <w:szCs w:val="26"/>
        </w:rPr>
        <w:t xml:space="preserve">Dưới đây là bảng số liệu cập nhật chính thức thay thế toàn diện cho Bảng 3 trong báo cáo cũ. Đánh giá trên tập Test độc lập gồm 6.646 đồ thị của 57 trận đấu, trung bình và độ lệch chuẩn qua 5 seeds (42, 123, 456, 789, </w:t>
      </w:r>
      <w:r>
        <w:rPr>
          <w:rFonts w:hint="default" w:ascii="Times New Roman" w:hAnsi="Times New Roman"/>
          <w:i w:val="0"/>
          <w:color w:val="auto"/>
          <w:sz w:val="26"/>
          <w:szCs w:val="26"/>
          <w:lang w:val="en-US"/>
        </w:rPr>
        <w:t>1024</w:t>
      </w:r>
      <w:r>
        <w:rPr>
          <w:rFonts w:ascii="Times New Roman" w:hAnsi="Times New Roman"/>
          <w:i w:val="0"/>
          <w:color w:val="auto"/>
          <w:sz w:val="26"/>
          <w:szCs w:val="26"/>
        </w:rPr>
        <w:t>). Khoảng tin cậy 95% tính toán bằng phương pháp Non-parametric Cluster Bootstrap theo trận với 10.000 lần lặp:</w:t>
      </w:r>
    </w:p>
    <w:tbl>
      <w:tblPr>
        <w:tblStyle w:val="12"/>
        <w:tblW w:w="0" w:type="auto"/>
        <w:jc w:val="center"/>
        <w:tblLayout w:type="fixed"/>
        <w:tblCellMar>
          <w:top w:w="0" w:type="dxa"/>
          <w:left w:w="108" w:type="dxa"/>
          <w:bottom w:w="0" w:type="dxa"/>
          <w:right w:w="108" w:type="dxa"/>
        </w:tblCellMar>
      </w:tblPr>
      <w:tblGrid>
        <w:gridCol w:w="1219"/>
        <w:gridCol w:w="1219"/>
        <w:gridCol w:w="1219"/>
        <w:gridCol w:w="1219"/>
        <w:gridCol w:w="1219"/>
        <w:gridCol w:w="1219"/>
        <w:gridCol w:w="1219"/>
        <w:gridCol w:w="1219"/>
      </w:tblGrid>
      <w:tr w14:paraId="3AE86217">
        <w:tblPrEx>
          <w:tblCellMar>
            <w:top w:w="0" w:type="dxa"/>
            <w:left w:w="108" w:type="dxa"/>
            <w:bottom w:w="0" w:type="dxa"/>
            <w:right w:w="108" w:type="dxa"/>
          </w:tblCellMar>
        </w:tblPrEx>
        <w:trPr>
          <w:tblHeader/>
          <w:jc w:val="center"/>
        </w:trPr>
        <w:tc>
          <w:tcPr>
            <w:tcW w:w="1728"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745F50F7">
            <w:pPr>
              <w:spacing w:before="40" w:after="40"/>
              <w:jc w:val="center"/>
              <w:rPr>
                <w:color w:val="auto"/>
                <w:sz w:val="26"/>
                <w:szCs w:val="26"/>
              </w:rPr>
            </w:pPr>
            <w:r>
              <w:rPr>
                <w:rFonts w:ascii="Times New Roman" w:hAnsi="Times New Roman"/>
                <w:b/>
                <w:color w:val="auto"/>
                <w:sz w:val="26"/>
                <w:szCs w:val="26"/>
              </w:rPr>
              <w:t>Mô hình</w:t>
            </w:r>
          </w:p>
        </w:tc>
        <w:tc>
          <w:tcPr>
            <w:tcW w:w="1584"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0942791B">
            <w:pPr>
              <w:spacing w:before="40" w:after="40"/>
              <w:jc w:val="center"/>
              <w:rPr>
                <w:color w:val="auto"/>
                <w:sz w:val="26"/>
                <w:szCs w:val="26"/>
              </w:rPr>
            </w:pPr>
            <w:r>
              <w:rPr>
                <w:rFonts w:ascii="Times New Roman" w:hAnsi="Times New Roman"/>
                <w:b/>
                <w:color w:val="auto"/>
                <w:sz w:val="26"/>
                <w:szCs w:val="26"/>
              </w:rPr>
              <w:t>Tầng đối sánh</w:t>
            </w:r>
          </w:p>
        </w:tc>
        <w:tc>
          <w:tcPr>
            <w:tcW w:w="864"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418ABC50">
            <w:pPr>
              <w:spacing w:before="40" w:after="40"/>
              <w:jc w:val="center"/>
              <w:rPr>
                <w:color w:val="auto"/>
                <w:sz w:val="26"/>
                <w:szCs w:val="26"/>
              </w:rPr>
            </w:pPr>
            <w:r>
              <w:rPr>
                <w:rFonts w:ascii="Times New Roman" w:hAnsi="Times New Roman"/>
                <w:b/>
                <w:color w:val="auto"/>
                <w:sz w:val="26"/>
                <w:szCs w:val="26"/>
              </w:rPr>
              <w:t>Dữ liệu</w:t>
            </w:r>
          </w:p>
        </w:tc>
        <w:tc>
          <w:tcPr>
            <w:tcW w:w="1296"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086AEF87">
            <w:pPr>
              <w:spacing w:before="40" w:after="40"/>
              <w:jc w:val="center"/>
              <w:rPr>
                <w:color w:val="auto"/>
                <w:sz w:val="26"/>
                <w:szCs w:val="26"/>
              </w:rPr>
            </w:pPr>
            <w:r>
              <w:rPr>
                <w:rFonts w:ascii="Times New Roman" w:hAnsi="Times New Roman"/>
                <w:b/>
                <w:color w:val="auto"/>
                <w:sz w:val="26"/>
                <w:szCs w:val="26"/>
              </w:rPr>
              <w:t>Accuracy</w:t>
            </w:r>
          </w:p>
        </w:tc>
        <w:tc>
          <w:tcPr>
            <w:tcW w:w="1152"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2D9F27F3">
            <w:pPr>
              <w:spacing w:before="40" w:after="40"/>
              <w:jc w:val="center"/>
              <w:rPr>
                <w:color w:val="auto"/>
                <w:sz w:val="26"/>
                <w:szCs w:val="26"/>
              </w:rPr>
            </w:pPr>
            <w:r>
              <w:rPr>
                <w:rFonts w:ascii="Times New Roman" w:hAnsi="Times New Roman"/>
                <w:b/>
                <w:color w:val="auto"/>
                <w:sz w:val="26"/>
                <w:szCs w:val="26"/>
              </w:rPr>
              <w:t>F1-Score</w:t>
            </w:r>
          </w:p>
        </w:tc>
        <w:tc>
          <w:tcPr>
            <w:tcW w:w="1152"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06A552B3">
            <w:pPr>
              <w:spacing w:before="40" w:after="40"/>
              <w:jc w:val="center"/>
              <w:rPr>
                <w:color w:val="auto"/>
                <w:sz w:val="26"/>
                <w:szCs w:val="26"/>
              </w:rPr>
            </w:pPr>
            <w:r>
              <w:rPr>
                <w:rFonts w:ascii="Times New Roman" w:hAnsi="Times New Roman"/>
                <w:b/>
                <w:color w:val="auto"/>
                <w:sz w:val="26"/>
                <w:szCs w:val="26"/>
              </w:rPr>
              <w:t>AUC-ROC</w:t>
            </w:r>
          </w:p>
        </w:tc>
        <w:tc>
          <w:tcPr>
            <w:tcW w:w="1728"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6E109E21">
            <w:pPr>
              <w:spacing w:before="40" w:after="40"/>
              <w:jc w:val="center"/>
              <w:rPr>
                <w:color w:val="auto"/>
                <w:sz w:val="26"/>
                <w:szCs w:val="26"/>
              </w:rPr>
            </w:pPr>
            <w:r>
              <w:rPr>
                <w:rFonts w:ascii="Times New Roman" w:hAnsi="Times New Roman"/>
                <w:b/>
                <w:color w:val="auto"/>
                <w:sz w:val="26"/>
                <w:szCs w:val="26"/>
              </w:rPr>
              <w:t>AUC-PR (KTC 95%)</w:t>
            </w:r>
          </w:p>
        </w:tc>
        <w:tc>
          <w:tcPr>
            <w:tcW w:w="1152"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12B53F0C">
            <w:pPr>
              <w:spacing w:before="40" w:after="40"/>
              <w:jc w:val="center"/>
              <w:rPr>
                <w:color w:val="auto"/>
                <w:sz w:val="26"/>
                <w:szCs w:val="26"/>
              </w:rPr>
            </w:pPr>
            <w:r>
              <w:rPr>
                <w:rFonts w:ascii="Times New Roman" w:hAnsi="Times New Roman"/>
                <w:b/>
                <w:color w:val="auto"/>
                <w:sz w:val="26"/>
                <w:szCs w:val="26"/>
              </w:rPr>
              <w:t>Brier Score</w:t>
            </w:r>
          </w:p>
        </w:tc>
      </w:tr>
      <w:tr w14:paraId="302AE5CF">
        <w:tblPrEx>
          <w:tblCellMar>
            <w:top w:w="0" w:type="dxa"/>
            <w:left w:w="108" w:type="dxa"/>
            <w:bottom w:w="0" w:type="dxa"/>
            <w:right w:w="108" w:type="dxa"/>
          </w:tblCellMar>
        </w:tblPrEx>
        <w:trPr>
          <w:jc w:val="center"/>
        </w:trPr>
        <w:tc>
          <w:tcPr>
            <w:tcW w:w="1728"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4EFE9730">
            <w:pPr>
              <w:spacing w:before="20" w:after="20"/>
              <w:jc w:val="center"/>
              <w:rPr>
                <w:color w:val="auto"/>
                <w:sz w:val="26"/>
                <w:szCs w:val="26"/>
              </w:rPr>
            </w:pPr>
            <w:r>
              <w:rPr>
                <w:rFonts w:ascii="Times New Roman" w:hAnsi="Times New Roman"/>
                <w:b/>
                <w:color w:val="auto"/>
                <w:sz w:val="26"/>
                <w:szCs w:val="26"/>
              </w:rPr>
              <w:t>MPNN (đề xuất)</w:t>
            </w:r>
          </w:p>
        </w:tc>
        <w:tc>
          <w:tcPr>
            <w:tcW w:w="158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7545DDE5">
            <w:pPr>
              <w:spacing w:before="20" w:after="20"/>
              <w:jc w:val="center"/>
              <w:rPr>
                <w:color w:val="auto"/>
                <w:sz w:val="26"/>
                <w:szCs w:val="26"/>
              </w:rPr>
            </w:pPr>
            <w:r>
              <w:rPr>
                <w:rFonts w:ascii="Times New Roman" w:hAnsi="Times New Roman"/>
                <w:color w:val="auto"/>
                <w:sz w:val="26"/>
                <w:szCs w:val="26"/>
              </w:rPr>
              <w:t>Tier 2 — GNN</w:t>
            </w:r>
          </w:p>
        </w:tc>
        <w:tc>
          <w:tcPr>
            <w:tcW w:w="86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0E25966B">
            <w:pPr>
              <w:spacing w:before="20" w:after="20"/>
              <w:jc w:val="center"/>
              <w:rPr>
                <w:color w:val="auto"/>
                <w:sz w:val="26"/>
                <w:szCs w:val="26"/>
              </w:rPr>
            </w:pPr>
            <w:r>
              <w:rPr>
                <w:rFonts w:ascii="Times New Roman" w:hAnsi="Times New Roman"/>
                <w:color w:val="auto"/>
                <w:sz w:val="26"/>
                <w:szCs w:val="26"/>
              </w:rPr>
              <w:t>Đồ thị</w:t>
            </w:r>
          </w:p>
        </w:tc>
        <w:tc>
          <w:tcPr>
            <w:tcW w:w="1296"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775AA33A">
            <w:pPr>
              <w:spacing w:before="20" w:after="20"/>
              <w:jc w:val="center"/>
              <w:rPr>
                <w:color w:val="auto"/>
                <w:sz w:val="26"/>
                <w:szCs w:val="26"/>
              </w:rPr>
            </w:pPr>
            <w:r>
              <w:rPr>
                <w:rFonts w:ascii="Times New Roman" w:hAnsi="Times New Roman"/>
                <w:color w:val="auto"/>
                <w:sz w:val="26"/>
                <w:szCs w:val="26"/>
              </w:rPr>
              <w:t>0,878 ± 0,004</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40EA6645">
            <w:pPr>
              <w:spacing w:before="20" w:after="20"/>
              <w:jc w:val="center"/>
              <w:rPr>
                <w:color w:val="auto"/>
                <w:sz w:val="26"/>
                <w:szCs w:val="26"/>
              </w:rPr>
            </w:pPr>
            <w:r>
              <w:rPr>
                <w:rFonts w:ascii="Times New Roman" w:hAnsi="Times New Roman"/>
                <w:color w:val="auto"/>
                <w:sz w:val="26"/>
                <w:szCs w:val="26"/>
              </w:rPr>
              <w:t>0,576 ± 0,004</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542DB5E0">
            <w:pPr>
              <w:spacing w:before="20" w:after="20"/>
              <w:jc w:val="center"/>
              <w:rPr>
                <w:color w:val="auto"/>
                <w:sz w:val="26"/>
                <w:szCs w:val="26"/>
              </w:rPr>
            </w:pPr>
            <w:r>
              <w:rPr>
                <w:rFonts w:ascii="Times New Roman" w:hAnsi="Times New Roman"/>
                <w:color w:val="auto"/>
                <w:sz w:val="26"/>
                <w:szCs w:val="26"/>
              </w:rPr>
              <w:t>0,876 ± 0,003</w:t>
            </w:r>
          </w:p>
        </w:tc>
        <w:tc>
          <w:tcPr>
            <w:tcW w:w="1728"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1509DE64">
            <w:pPr>
              <w:spacing w:before="20" w:after="20"/>
              <w:jc w:val="center"/>
              <w:rPr>
                <w:color w:val="auto"/>
                <w:sz w:val="26"/>
                <w:szCs w:val="26"/>
              </w:rPr>
            </w:pPr>
            <w:r>
              <w:rPr>
                <w:rFonts w:ascii="Times New Roman" w:hAnsi="Times New Roman"/>
                <w:color w:val="auto"/>
                <w:sz w:val="26"/>
                <w:szCs w:val="26"/>
              </w:rPr>
              <w:t>0,600 (0,566–0,632)</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4C6B317D">
            <w:pPr>
              <w:spacing w:before="20" w:after="20"/>
              <w:jc w:val="center"/>
              <w:rPr>
                <w:color w:val="auto"/>
                <w:sz w:val="26"/>
                <w:szCs w:val="26"/>
              </w:rPr>
            </w:pPr>
            <w:r>
              <w:rPr>
                <w:rFonts w:ascii="Times New Roman" w:hAnsi="Times New Roman"/>
                <w:color w:val="auto"/>
                <w:sz w:val="26"/>
                <w:szCs w:val="26"/>
              </w:rPr>
              <w:t>0,130 ± 0,011</w:t>
            </w:r>
          </w:p>
        </w:tc>
      </w:tr>
      <w:tr w14:paraId="53A71690">
        <w:tblPrEx>
          <w:tblCellMar>
            <w:top w:w="0" w:type="dxa"/>
            <w:left w:w="108" w:type="dxa"/>
            <w:bottom w:w="0" w:type="dxa"/>
            <w:right w:w="108" w:type="dxa"/>
          </w:tblCellMar>
        </w:tblPrEx>
        <w:trPr>
          <w:jc w:val="center"/>
        </w:trPr>
        <w:tc>
          <w:tcPr>
            <w:tcW w:w="1728"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1AAA85DD">
            <w:pPr>
              <w:spacing w:before="20" w:after="20"/>
              <w:jc w:val="center"/>
              <w:rPr>
                <w:color w:val="auto"/>
                <w:sz w:val="26"/>
                <w:szCs w:val="26"/>
              </w:rPr>
            </w:pPr>
            <w:r>
              <w:rPr>
                <w:rFonts w:ascii="Times New Roman" w:hAnsi="Times New Roman"/>
                <w:color w:val="auto"/>
                <w:sz w:val="26"/>
                <w:szCs w:val="26"/>
              </w:rPr>
              <w:t>GraphSAGE</w:t>
            </w:r>
          </w:p>
        </w:tc>
        <w:tc>
          <w:tcPr>
            <w:tcW w:w="1584"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2A84FB7E">
            <w:pPr>
              <w:spacing w:before="20" w:after="20"/>
              <w:jc w:val="center"/>
              <w:rPr>
                <w:color w:val="auto"/>
                <w:sz w:val="26"/>
                <w:szCs w:val="26"/>
              </w:rPr>
            </w:pPr>
            <w:r>
              <w:rPr>
                <w:rFonts w:ascii="Times New Roman" w:hAnsi="Times New Roman"/>
                <w:color w:val="auto"/>
                <w:sz w:val="26"/>
                <w:szCs w:val="26"/>
              </w:rPr>
              <w:t>Tier 2 — GNN</w:t>
            </w:r>
          </w:p>
        </w:tc>
        <w:tc>
          <w:tcPr>
            <w:tcW w:w="864"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09CB06F3">
            <w:pPr>
              <w:spacing w:before="20" w:after="20"/>
              <w:jc w:val="center"/>
              <w:rPr>
                <w:color w:val="auto"/>
                <w:sz w:val="26"/>
                <w:szCs w:val="26"/>
              </w:rPr>
            </w:pPr>
            <w:r>
              <w:rPr>
                <w:rFonts w:ascii="Times New Roman" w:hAnsi="Times New Roman"/>
                <w:color w:val="auto"/>
                <w:sz w:val="26"/>
                <w:szCs w:val="26"/>
              </w:rPr>
              <w:t>Đồ thị</w:t>
            </w:r>
          </w:p>
        </w:tc>
        <w:tc>
          <w:tcPr>
            <w:tcW w:w="1296"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1E3FB4EB">
            <w:pPr>
              <w:spacing w:before="20" w:after="20"/>
              <w:jc w:val="center"/>
              <w:rPr>
                <w:color w:val="auto"/>
                <w:sz w:val="26"/>
                <w:szCs w:val="26"/>
              </w:rPr>
            </w:pPr>
            <w:r>
              <w:rPr>
                <w:rFonts w:ascii="Times New Roman" w:hAnsi="Times New Roman"/>
                <w:color w:val="auto"/>
                <w:sz w:val="26"/>
                <w:szCs w:val="26"/>
              </w:rPr>
              <w:t>0,845 ± 0,012</w:t>
            </w:r>
          </w:p>
        </w:tc>
        <w:tc>
          <w:tcPr>
            <w:tcW w:w="115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517A996D">
            <w:pPr>
              <w:spacing w:before="20" w:after="20"/>
              <w:jc w:val="center"/>
              <w:rPr>
                <w:color w:val="auto"/>
                <w:sz w:val="26"/>
                <w:szCs w:val="26"/>
              </w:rPr>
            </w:pPr>
            <w:r>
              <w:rPr>
                <w:rFonts w:ascii="Times New Roman" w:hAnsi="Times New Roman"/>
                <w:color w:val="auto"/>
                <w:sz w:val="26"/>
                <w:szCs w:val="26"/>
              </w:rPr>
              <w:t>0,514 ± 0,007</w:t>
            </w:r>
          </w:p>
        </w:tc>
        <w:tc>
          <w:tcPr>
            <w:tcW w:w="115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74A72AAD">
            <w:pPr>
              <w:spacing w:before="20" w:after="20"/>
              <w:jc w:val="center"/>
              <w:rPr>
                <w:color w:val="auto"/>
                <w:sz w:val="26"/>
                <w:szCs w:val="26"/>
              </w:rPr>
            </w:pPr>
            <w:r>
              <w:rPr>
                <w:rFonts w:ascii="Times New Roman" w:hAnsi="Times New Roman"/>
                <w:color w:val="auto"/>
                <w:sz w:val="26"/>
                <w:szCs w:val="26"/>
              </w:rPr>
              <w:t>0,850 ± 0,001</w:t>
            </w:r>
          </w:p>
        </w:tc>
        <w:tc>
          <w:tcPr>
            <w:tcW w:w="1728"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05890867">
            <w:pPr>
              <w:spacing w:before="20" w:after="20"/>
              <w:jc w:val="center"/>
              <w:rPr>
                <w:color w:val="auto"/>
                <w:sz w:val="26"/>
                <w:szCs w:val="26"/>
              </w:rPr>
            </w:pPr>
            <w:r>
              <w:rPr>
                <w:rFonts w:ascii="Times New Roman" w:hAnsi="Times New Roman"/>
                <w:color w:val="auto"/>
                <w:sz w:val="26"/>
                <w:szCs w:val="26"/>
              </w:rPr>
              <w:t>0,516 (0,481–0,551)</w:t>
            </w:r>
          </w:p>
        </w:tc>
        <w:tc>
          <w:tcPr>
            <w:tcW w:w="115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223D4A67">
            <w:pPr>
              <w:spacing w:before="20" w:after="20"/>
              <w:jc w:val="center"/>
              <w:rPr>
                <w:color w:val="auto"/>
                <w:sz w:val="26"/>
                <w:szCs w:val="26"/>
              </w:rPr>
            </w:pPr>
            <w:r>
              <w:rPr>
                <w:rFonts w:ascii="Times New Roman" w:hAnsi="Times New Roman"/>
                <w:color w:val="auto"/>
                <w:sz w:val="26"/>
                <w:szCs w:val="26"/>
              </w:rPr>
              <w:t>0,146 ± 0,005</w:t>
            </w:r>
          </w:p>
        </w:tc>
      </w:tr>
      <w:tr w14:paraId="3AF4A606">
        <w:tblPrEx>
          <w:tblCellMar>
            <w:top w:w="0" w:type="dxa"/>
            <w:left w:w="108" w:type="dxa"/>
            <w:bottom w:w="0" w:type="dxa"/>
            <w:right w:w="108" w:type="dxa"/>
          </w:tblCellMar>
        </w:tblPrEx>
        <w:trPr>
          <w:jc w:val="center"/>
        </w:trPr>
        <w:tc>
          <w:tcPr>
            <w:tcW w:w="1728"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38087EAB">
            <w:pPr>
              <w:spacing w:before="20" w:after="20"/>
              <w:jc w:val="center"/>
              <w:rPr>
                <w:color w:val="auto"/>
                <w:sz w:val="26"/>
                <w:szCs w:val="26"/>
              </w:rPr>
            </w:pPr>
            <w:r>
              <w:rPr>
                <w:rFonts w:ascii="Times New Roman" w:hAnsi="Times New Roman"/>
                <w:color w:val="auto"/>
                <w:sz w:val="26"/>
                <w:szCs w:val="26"/>
              </w:rPr>
              <w:t>GATv2</w:t>
            </w:r>
          </w:p>
        </w:tc>
        <w:tc>
          <w:tcPr>
            <w:tcW w:w="1584"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6C6E7C40">
            <w:pPr>
              <w:spacing w:before="20" w:after="20"/>
              <w:jc w:val="center"/>
              <w:rPr>
                <w:color w:val="auto"/>
                <w:sz w:val="26"/>
                <w:szCs w:val="26"/>
              </w:rPr>
            </w:pPr>
            <w:r>
              <w:rPr>
                <w:rFonts w:ascii="Times New Roman" w:hAnsi="Times New Roman"/>
                <w:color w:val="auto"/>
                <w:sz w:val="26"/>
                <w:szCs w:val="26"/>
              </w:rPr>
              <w:t>Tier 2 — GNN</w:t>
            </w:r>
          </w:p>
        </w:tc>
        <w:tc>
          <w:tcPr>
            <w:tcW w:w="864"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0F4B8EE9">
            <w:pPr>
              <w:spacing w:before="20" w:after="20"/>
              <w:jc w:val="center"/>
              <w:rPr>
                <w:color w:val="auto"/>
                <w:sz w:val="26"/>
                <w:szCs w:val="26"/>
              </w:rPr>
            </w:pPr>
            <w:r>
              <w:rPr>
                <w:rFonts w:ascii="Times New Roman" w:hAnsi="Times New Roman"/>
                <w:color w:val="auto"/>
                <w:sz w:val="26"/>
                <w:szCs w:val="26"/>
              </w:rPr>
              <w:t>Đồ thị</w:t>
            </w:r>
          </w:p>
        </w:tc>
        <w:tc>
          <w:tcPr>
            <w:tcW w:w="1296"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0B97F0A4">
            <w:pPr>
              <w:spacing w:before="20" w:after="20"/>
              <w:jc w:val="center"/>
              <w:rPr>
                <w:color w:val="auto"/>
                <w:sz w:val="26"/>
                <w:szCs w:val="26"/>
              </w:rPr>
            </w:pPr>
            <w:r>
              <w:rPr>
                <w:rFonts w:ascii="Times New Roman" w:hAnsi="Times New Roman"/>
                <w:color w:val="auto"/>
                <w:sz w:val="26"/>
                <w:szCs w:val="26"/>
              </w:rPr>
              <w:t>0,824 ± 0,012</w:t>
            </w:r>
          </w:p>
        </w:tc>
        <w:tc>
          <w:tcPr>
            <w:tcW w:w="115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6FCAB6BB">
            <w:pPr>
              <w:spacing w:before="20" w:after="20"/>
              <w:jc w:val="center"/>
              <w:rPr>
                <w:color w:val="auto"/>
                <w:sz w:val="26"/>
                <w:szCs w:val="26"/>
              </w:rPr>
            </w:pPr>
            <w:r>
              <w:rPr>
                <w:rFonts w:ascii="Times New Roman" w:hAnsi="Times New Roman"/>
                <w:color w:val="auto"/>
                <w:sz w:val="26"/>
                <w:szCs w:val="26"/>
              </w:rPr>
              <w:t>0,493 ± 0,005</w:t>
            </w:r>
          </w:p>
        </w:tc>
        <w:tc>
          <w:tcPr>
            <w:tcW w:w="115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4272441D">
            <w:pPr>
              <w:spacing w:before="20" w:after="20"/>
              <w:jc w:val="center"/>
              <w:rPr>
                <w:color w:val="auto"/>
                <w:sz w:val="26"/>
                <w:szCs w:val="26"/>
              </w:rPr>
            </w:pPr>
            <w:r>
              <w:rPr>
                <w:rFonts w:ascii="Times New Roman" w:hAnsi="Times New Roman"/>
                <w:color w:val="auto"/>
                <w:sz w:val="26"/>
                <w:szCs w:val="26"/>
              </w:rPr>
              <w:t>0,841 ± 0,001</w:t>
            </w:r>
          </w:p>
        </w:tc>
        <w:tc>
          <w:tcPr>
            <w:tcW w:w="1728"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3E416034">
            <w:pPr>
              <w:spacing w:before="20" w:after="20"/>
              <w:jc w:val="center"/>
              <w:rPr>
                <w:color w:val="auto"/>
                <w:sz w:val="26"/>
                <w:szCs w:val="26"/>
              </w:rPr>
            </w:pPr>
            <w:r>
              <w:rPr>
                <w:rFonts w:ascii="Times New Roman" w:hAnsi="Times New Roman"/>
                <w:color w:val="auto"/>
                <w:sz w:val="26"/>
                <w:szCs w:val="26"/>
              </w:rPr>
              <w:t>0,462 (0,427–0,497)</w:t>
            </w:r>
          </w:p>
        </w:tc>
        <w:tc>
          <w:tcPr>
            <w:tcW w:w="115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7441DB1F">
            <w:pPr>
              <w:spacing w:before="20" w:after="20"/>
              <w:jc w:val="center"/>
              <w:rPr>
                <w:color w:val="auto"/>
                <w:sz w:val="26"/>
                <w:szCs w:val="26"/>
              </w:rPr>
            </w:pPr>
            <w:r>
              <w:rPr>
                <w:rFonts w:ascii="Times New Roman" w:hAnsi="Times New Roman"/>
                <w:color w:val="auto"/>
                <w:sz w:val="26"/>
                <w:szCs w:val="26"/>
              </w:rPr>
              <w:t>0,153 ± 0,007</w:t>
            </w:r>
          </w:p>
        </w:tc>
      </w:tr>
      <w:tr w14:paraId="4AAEBBEF">
        <w:tblPrEx>
          <w:tblCellMar>
            <w:top w:w="0" w:type="dxa"/>
            <w:left w:w="108" w:type="dxa"/>
            <w:bottom w:w="0" w:type="dxa"/>
            <w:right w:w="108" w:type="dxa"/>
          </w:tblCellMar>
        </w:tblPrEx>
        <w:trPr>
          <w:jc w:val="center"/>
        </w:trPr>
        <w:tc>
          <w:tcPr>
            <w:tcW w:w="1728"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5F951F8A">
            <w:pPr>
              <w:spacing w:before="20" w:after="20"/>
              <w:jc w:val="center"/>
              <w:rPr>
                <w:color w:val="auto"/>
                <w:sz w:val="26"/>
                <w:szCs w:val="26"/>
              </w:rPr>
            </w:pPr>
            <w:r>
              <w:rPr>
                <w:rFonts w:ascii="Times New Roman" w:hAnsi="Times New Roman"/>
                <w:color w:val="auto"/>
                <w:sz w:val="26"/>
                <w:szCs w:val="26"/>
              </w:rPr>
              <w:t>GCN (cơ sở)</w:t>
            </w:r>
          </w:p>
        </w:tc>
        <w:tc>
          <w:tcPr>
            <w:tcW w:w="1584"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664FD315">
            <w:pPr>
              <w:spacing w:before="20" w:after="20"/>
              <w:jc w:val="center"/>
              <w:rPr>
                <w:color w:val="auto"/>
                <w:sz w:val="26"/>
                <w:szCs w:val="26"/>
              </w:rPr>
            </w:pPr>
            <w:r>
              <w:rPr>
                <w:rFonts w:ascii="Times New Roman" w:hAnsi="Times New Roman"/>
                <w:color w:val="auto"/>
                <w:sz w:val="26"/>
                <w:szCs w:val="26"/>
              </w:rPr>
              <w:t>Tier 2 — GNN</w:t>
            </w:r>
          </w:p>
        </w:tc>
        <w:tc>
          <w:tcPr>
            <w:tcW w:w="864"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24C95A9B">
            <w:pPr>
              <w:spacing w:before="20" w:after="20"/>
              <w:jc w:val="center"/>
              <w:rPr>
                <w:color w:val="auto"/>
                <w:sz w:val="26"/>
                <w:szCs w:val="26"/>
              </w:rPr>
            </w:pPr>
            <w:r>
              <w:rPr>
                <w:rFonts w:ascii="Times New Roman" w:hAnsi="Times New Roman"/>
                <w:color w:val="auto"/>
                <w:sz w:val="26"/>
                <w:szCs w:val="26"/>
              </w:rPr>
              <w:t>Đồ thị</w:t>
            </w:r>
          </w:p>
        </w:tc>
        <w:tc>
          <w:tcPr>
            <w:tcW w:w="1296"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6F29FEB4">
            <w:pPr>
              <w:spacing w:before="20" w:after="20"/>
              <w:jc w:val="center"/>
              <w:rPr>
                <w:color w:val="auto"/>
                <w:sz w:val="26"/>
                <w:szCs w:val="26"/>
              </w:rPr>
            </w:pPr>
            <w:r>
              <w:rPr>
                <w:rFonts w:ascii="Times New Roman" w:hAnsi="Times New Roman"/>
                <w:color w:val="auto"/>
                <w:sz w:val="26"/>
                <w:szCs w:val="26"/>
              </w:rPr>
              <w:t>0,802 ± 0,014</w:t>
            </w:r>
          </w:p>
        </w:tc>
        <w:tc>
          <w:tcPr>
            <w:tcW w:w="115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105A15B1">
            <w:pPr>
              <w:spacing w:before="20" w:after="20"/>
              <w:jc w:val="center"/>
              <w:rPr>
                <w:color w:val="auto"/>
                <w:sz w:val="26"/>
                <w:szCs w:val="26"/>
              </w:rPr>
            </w:pPr>
            <w:r>
              <w:rPr>
                <w:rFonts w:ascii="Times New Roman" w:hAnsi="Times New Roman"/>
                <w:color w:val="auto"/>
                <w:sz w:val="26"/>
                <w:szCs w:val="26"/>
              </w:rPr>
              <w:t>0,472 ± 0,007</w:t>
            </w:r>
          </w:p>
        </w:tc>
        <w:tc>
          <w:tcPr>
            <w:tcW w:w="115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2D94B5C6">
            <w:pPr>
              <w:spacing w:before="20" w:after="20"/>
              <w:jc w:val="center"/>
              <w:rPr>
                <w:color w:val="auto"/>
                <w:sz w:val="26"/>
                <w:szCs w:val="26"/>
              </w:rPr>
            </w:pPr>
            <w:r>
              <w:rPr>
                <w:rFonts w:ascii="Times New Roman" w:hAnsi="Times New Roman"/>
                <w:color w:val="auto"/>
                <w:sz w:val="26"/>
                <w:szCs w:val="26"/>
              </w:rPr>
              <w:t>0,831 ± 0,001</w:t>
            </w:r>
          </w:p>
        </w:tc>
        <w:tc>
          <w:tcPr>
            <w:tcW w:w="1728"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36BE6A7A">
            <w:pPr>
              <w:spacing w:before="20" w:after="20"/>
              <w:jc w:val="center"/>
              <w:rPr>
                <w:color w:val="auto"/>
                <w:sz w:val="26"/>
                <w:szCs w:val="26"/>
              </w:rPr>
            </w:pPr>
            <w:r>
              <w:rPr>
                <w:rFonts w:ascii="Times New Roman" w:hAnsi="Times New Roman"/>
                <w:color w:val="auto"/>
                <w:sz w:val="26"/>
                <w:szCs w:val="26"/>
              </w:rPr>
              <w:t>0,453 (0,417–0,489)</w:t>
            </w:r>
          </w:p>
        </w:tc>
        <w:tc>
          <w:tcPr>
            <w:tcW w:w="115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72A93F51">
            <w:pPr>
              <w:spacing w:before="20" w:after="20"/>
              <w:jc w:val="center"/>
              <w:rPr>
                <w:color w:val="auto"/>
                <w:sz w:val="26"/>
                <w:szCs w:val="26"/>
              </w:rPr>
            </w:pPr>
            <w:r>
              <w:rPr>
                <w:rFonts w:ascii="Times New Roman" w:hAnsi="Times New Roman"/>
                <w:color w:val="auto"/>
                <w:sz w:val="26"/>
                <w:szCs w:val="26"/>
              </w:rPr>
              <w:t>0,169 ± 0,006</w:t>
            </w:r>
          </w:p>
        </w:tc>
      </w:tr>
      <w:tr w14:paraId="7AC92EE6">
        <w:tblPrEx>
          <w:tblCellMar>
            <w:top w:w="0" w:type="dxa"/>
            <w:left w:w="108" w:type="dxa"/>
            <w:bottom w:w="0" w:type="dxa"/>
            <w:right w:w="108" w:type="dxa"/>
          </w:tblCellMar>
        </w:tblPrEx>
        <w:trPr>
          <w:jc w:val="center"/>
        </w:trPr>
        <w:tc>
          <w:tcPr>
            <w:tcW w:w="1728"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629ADFD1">
            <w:pPr>
              <w:spacing w:before="20" w:after="20"/>
              <w:jc w:val="center"/>
              <w:rPr>
                <w:color w:val="auto"/>
                <w:sz w:val="26"/>
                <w:szCs w:val="26"/>
              </w:rPr>
            </w:pPr>
            <w:r>
              <w:rPr>
                <w:rFonts w:ascii="Times New Roman" w:hAnsi="Times New Roman"/>
                <w:color w:val="auto"/>
                <w:sz w:val="26"/>
                <w:szCs w:val="26"/>
              </w:rPr>
              <w:t>Logistic Reg.</w:t>
            </w:r>
          </w:p>
        </w:tc>
        <w:tc>
          <w:tcPr>
            <w:tcW w:w="1584"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2F709AAA">
            <w:pPr>
              <w:spacing w:before="20" w:after="20"/>
              <w:jc w:val="center"/>
              <w:rPr>
                <w:color w:val="auto"/>
                <w:sz w:val="26"/>
                <w:szCs w:val="26"/>
              </w:rPr>
            </w:pPr>
            <w:r>
              <w:rPr>
                <w:rFonts w:ascii="Times New Roman" w:hAnsi="Times New Roman"/>
                <w:color w:val="auto"/>
                <w:sz w:val="26"/>
                <w:szCs w:val="26"/>
              </w:rPr>
              <w:t>Tier 3(a) — Tabular</w:t>
            </w:r>
          </w:p>
        </w:tc>
        <w:tc>
          <w:tcPr>
            <w:tcW w:w="864"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32E7E6EB">
            <w:pPr>
              <w:spacing w:before="20" w:after="20"/>
              <w:jc w:val="center"/>
              <w:rPr>
                <w:color w:val="auto"/>
                <w:sz w:val="26"/>
                <w:szCs w:val="26"/>
              </w:rPr>
            </w:pPr>
            <w:r>
              <w:rPr>
                <w:rFonts w:ascii="Times New Roman" w:hAnsi="Times New Roman"/>
                <w:color w:val="auto"/>
                <w:sz w:val="26"/>
                <w:szCs w:val="26"/>
              </w:rPr>
              <w:t>Bảng</w:t>
            </w:r>
          </w:p>
        </w:tc>
        <w:tc>
          <w:tcPr>
            <w:tcW w:w="1296"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055D1B3D">
            <w:pPr>
              <w:spacing w:before="20" w:after="20"/>
              <w:jc w:val="center"/>
              <w:rPr>
                <w:color w:val="auto"/>
                <w:sz w:val="26"/>
                <w:szCs w:val="26"/>
              </w:rPr>
            </w:pPr>
            <w:r>
              <w:rPr>
                <w:rFonts w:ascii="Times New Roman" w:hAnsi="Times New Roman"/>
                <w:color w:val="auto"/>
                <w:sz w:val="26"/>
                <w:szCs w:val="26"/>
              </w:rPr>
              <w:t>0,789 ± 0,000</w:t>
            </w:r>
          </w:p>
        </w:tc>
        <w:tc>
          <w:tcPr>
            <w:tcW w:w="115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448539E0">
            <w:pPr>
              <w:spacing w:before="20" w:after="20"/>
              <w:jc w:val="center"/>
              <w:rPr>
                <w:color w:val="auto"/>
                <w:sz w:val="26"/>
                <w:szCs w:val="26"/>
              </w:rPr>
            </w:pPr>
            <w:r>
              <w:rPr>
                <w:rFonts w:ascii="Times New Roman" w:hAnsi="Times New Roman"/>
                <w:color w:val="auto"/>
                <w:sz w:val="26"/>
                <w:szCs w:val="26"/>
              </w:rPr>
              <w:t>0,453 ± 0,000</w:t>
            </w:r>
          </w:p>
        </w:tc>
        <w:tc>
          <w:tcPr>
            <w:tcW w:w="115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034DC477">
            <w:pPr>
              <w:spacing w:before="20" w:after="20"/>
              <w:jc w:val="center"/>
              <w:rPr>
                <w:color w:val="auto"/>
                <w:sz w:val="26"/>
                <w:szCs w:val="26"/>
              </w:rPr>
            </w:pPr>
            <w:r>
              <w:rPr>
                <w:rFonts w:ascii="Times New Roman" w:hAnsi="Times New Roman"/>
                <w:color w:val="auto"/>
                <w:sz w:val="26"/>
                <w:szCs w:val="26"/>
              </w:rPr>
              <w:t>0,822 ± 0,000</w:t>
            </w:r>
          </w:p>
        </w:tc>
        <w:tc>
          <w:tcPr>
            <w:tcW w:w="1728"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59A9F166">
            <w:pPr>
              <w:spacing w:before="20" w:after="20"/>
              <w:jc w:val="center"/>
              <w:rPr>
                <w:color w:val="auto"/>
                <w:sz w:val="26"/>
                <w:szCs w:val="26"/>
              </w:rPr>
            </w:pPr>
            <w:r>
              <w:rPr>
                <w:rFonts w:ascii="Times New Roman" w:hAnsi="Times New Roman"/>
                <w:color w:val="auto"/>
                <w:sz w:val="26"/>
                <w:szCs w:val="26"/>
              </w:rPr>
              <w:t>0,338 (0,313–0,366)</w:t>
            </w:r>
          </w:p>
        </w:tc>
        <w:tc>
          <w:tcPr>
            <w:tcW w:w="115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2273AF3C">
            <w:pPr>
              <w:spacing w:before="20" w:after="20"/>
              <w:jc w:val="center"/>
              <w:rPr>
                <w:color w:val="auto"/>
                <w:sz w:val="26"/>
                <w:szCs w:val="26"/>
              </w:rPr>
            </w:pPr>
            <w:r>
              <w:rPr>
                <w:rFonts w:ascii="Times New Roman" w:hAnsi="Times New Roman"/>
                <w:color w:val="auto"/>
                <w:sz w:val="26"/>
                <w:szCs w:val="26"/>
              </w:rPr>
              <w:t>0,185 ± 0,000</w:t>
            </w:r>
          </w:p>
        </w:tc>
      </w:tr>
      <w:tr w14:paraId="73466B7B">
        <w:tblPrEx>
          <w:tblCellMar>
            <w:top w:w="0" w:type="dxa"/>
            <w:left w:w="108" w:type="dxa"/>
            <w:bottom w:w="0" w:type="dxa"/>
            <w:right w:w="108" w:type="dxa"/>
          </w:tblCellMar>
        </w:tblPrEx>
        <w:trPr>
          <w:jc w:val="center"/>
        </w:trPr>
        <w:tc>
          <w:tcPr>
            <w:tcW w:w="1728"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75D4A174">
            <w:pPr>
              <w:spacing w:before="20" w:after="20"/>
              <w:jc w:val="center"/>
              <w:rPr>
                <w:color w:val="auto"/>
                <w:sz w:val="26"/>
                <w:szCs w:val="26"/>
              </w:rPr>
            </w:pPr>
            <w:r>
              <w:rPr>
                <w:rFonts w:ascii="Times New Roman" w:hAnsi="Times New Roman"/>
                <w:color w:val="auto"/>
                <w:sz w:val="26"/>
                <w:szCs w:val="26"/>
              </w:rPr>
              <w:t>Random Forest</w:t>
            </w:r>
          </w:p>
        </w:tc>
        <w:tc>
          <w:tcPr>
            <w:tcW w:w="1584"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06736874">
            <w:pPr>
              <w:spacing w:before="20" w:after="20"/>
              <w:jc w:val="center"/>
              <w:rPr>
                <w:color w:val="auto"/>
                <w:sz w:val="26"/>
                <w:szCs w:val="26"/>
              </w:rPr>
            </w:pPr>
            <w:r>
              <w:rPr>
                <w:rFonts w:ascii="Times New Roman" w:hAnsi="Times New Roman"/>
                <w:color w:val="auto"/>
                <w:sz w:val="26"/>
                <w:szCs w:val="26"/>
              </w:rPr>
              <w:t>Tier 3(a) — Tabular</w:t>
            </w:r>
          </w:p>
        </w:tc>
        <w:tc>
          <w:tcPr>
            <w:tcW w:w="864"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317BDAB0">
            <w:pPr>
              <w:spacing w:before="20" w:after="20"/>
              <w:jc w:val="center"/>
              <w:rPr>
                <w:color w:val="auto"/>
                <w:sz w:val="26"/>
                <w:szCs w:val="26"/>
              </w:rPr>
            </w:pPr>
            <w:r>
              <w:rPr>
                <w:rFonts w:ascii="Times New Roman" w:hAnsi="Times New Roman"/>
                <w:color w:val="auto"/>
                <w:sz w:val="26"/>
                <w:szCs w:val="26"/>
              </w:rPr>
              <w:t>Bảng</w:t>
            </w:r>
          </w:p>
        </w:tc>
        <w:tc>
          <w:tcPr>
            <w:tcW w:w="1296"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3BCA452D">
            <w:pPr>
              <w:spacing w:before="20" w:after="20"/>
              <w:jc w:val="center"/>
              <w:rPr>
                <w:color w:val="auto"/>
                <w:sz w:val="26"/>
                <w:szCs w:val="26"/>
              </w:rPr>
            </w:pPr>
            <w:r>
              <w:rPr>
                <w:rFonts w:ascii="Times New Roman" w:hAnsi="Times New Roman"/>
                <w:color w:val="auto"/>
                <w:sz w:val="26"/>
                <w:szCs w:val="26"/>
              </w:rPr>
              <w:t>0,866 ± 0,006</w:t>
            </w:r>
          </w:p>
        </w:tc>
        <w:tc>
          <w:tcPr>
            <w:tcW w:w="115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48D4EFDE">
            <w:pPr>
              <w:spacing w:before="20" w:after="20"/>
              <w:jc w:val="center"/>
              <w:rPr>
                <w:color w:val="auto"/>
                <w:sz w:val="26"/>
                <w:szCs w:val="26"/>
              </w:rPr>
            </w:pPr>
            <w:r>
              <w:rPr>
                <w:rFonts w:ascii="Times New Roman" w:hAnsi="Times New Roman"/>
                <w:color w:val="auto"/>
                <w:sz w:val="26"/>
                <w:szCs w:val="26"/>
              </w:rPr>
              <w:t>0,589 ± 0,005</w:t>
            </w:r>
          </w:p>
        </w:tc>
        <w:tc>
          <w:tcPr>
            <w:tcW w:w="115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2F777308">
            <w:pPr>
              <w:spacing w:before="20" w:after="20"/>
              <w:jc w:val="center"/>
              <w:rPr>
                <w:color w:val="auto"/>
                <w:sz w:val="26"/>
                <w:szCs w:val="26"/>
              </w:rPr>
            </w:pPr>
            <w:r>
              <w:rPr>
                <w:rFonts w:ascii="Times New Roman" w:hAnsi="Times New Roman"/>
                <w:color w:val="auto"/>
                <w:sz w:val="26"/>
                <w:szCs w:val="26"/>
              </w:rPr>
              <w:t>0,886 ± 0,001</w:t>
            </w:r>
          </w:p>
        </w:tc>
        <w:tc>
          <w:tcPr>
            <w:tcW w:w="1728"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5420E968">
            <w:pPr>
              <w:spacing w:before="20" w:after="20"/>
              <w:jc w:val="center"/>
              <w:rPr>
                <w:color w:val="auto"/>
                <w:sz w:val="26"/>
                <w:szCs w:val="26"/>
              </w:rPr>
            </w:pPr>
            <w:r>
              <w:rPr>
                <w:rFonts w:ascii="Times New Roman" w:hAnsi="Times New Roman"/>
                <w:color w:val="auto"/>
                <w:sz w:val="26"/>
                <w:szCs w:val="26"/>
              </w:rPr>
              <w:t>0,620 (0,583–0,655)</w:t>
            </w:r>
          </w:p>
        </w:tc>
        <w:tc>
          <w:tcPr>
            <w:tcW w:w="115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536D09E7">
            <w:pPr>
              <w:spacing w:before="20" w:after="20"/>
              <w:jc w:val="center"/>
              <w:rPr>
                <w:color w:val="auto"/>
                <w:sz w:val="26"/>
                <w:szCs w:val="26"/>
              </w:rPr>
            </w:pPr>
            <w:r>
              <w:rPr>
                <w:rFonts w:ascii="Times New Roman" w:hAnsi="Times New Roman"/>
                <w:color w:val="auto"/>
                <w:sz w:val="26"/>
                <w:szCs w:val="26"/>
              </w:rPr>
              <w:t>0,087 ± 0,000</w:t>
            </w:r>
          </w:p>
        </w:tc>
      </w:tr>
      <w:tr w14:paraId="7F9071FC">
        <w:tblPrEx>
          <w:tblCellMar>
            <w:top w:w="0" w:type="dxa"/>
            <w:left w:w="108" w:type="dxa"/>
            <w:bottom w:w="0" w:type="dxa"/>
            <w:right w:w="108" w:type="dxa"/>
          </w:tblCellMar>
        </w:tblPrEx>
        <w:trPr>
          <w:jc w:val="center"/>
        </w:trPr>
        <w:tc>
          <w:tcPr>
            <w:tcW w:w="1728"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093E21DF">
            <w:pPr>
              <w:spacing w:before="20" w:after="20"/>
              <w:jc w:val="center"/>
              <w:rPr>
                <w:color w:val="auto"/>
                <w:sz w:val="26"/>
                <w:szCs w:val="26"/>
              </w:rPr>
            </w:pPr>
            <w:r>
              <w:rPr>
                <w:rFonts w:ascii="Times New Roman" w:hAnsi="Times New Roman"/>
                <w:color w:val="auto"/>
                <w:sz w:val="26"/>
                <w:szCs w:val="26"/>
              </w:rPr>
              <w:t>ANN (MLP)</w:t>
            </w:r>
          </w:p>
        </w:tc>
        <w:tc>
          <w:tcPr>
            <w:tcW w:w="1584"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510DF6FC">
            <w:pPr>
              <w:spacing w:before="20" w:after="20"/>
              <w:jc w:val="center"/>
              <w:rPr>
                <w:color w:val="auto"/>
                <w:sz w:val="26"/>
                <w:szCs w:val="26"/>
              </w:rPr>
            </w:pPr>
            <w:r>
              <w:rPr>
                <w:rFonts w:ascii="Times New Roman" w:hAnsi="Times New Roman"/>
                <w:color w:val="auto"/>
                <w:sz w:val="26"/>
                <w:szCs w:val="26"/>
              </w:rPr>
              <w:t>Tier 3(a) — Tabular</w:t>
            </w:r>
          </w:p>
        </w:tc>
        <w:tc>
          <w:tcPr>
            <w:tcW w:w="864"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1013E132">
            <w:pPr>
              <w:spacing w:before="20" w:after="20"/>
              <w:jc w:val="center"/>
              <w:rPr>
                <w:color w:val="auto"/>
                <w:sz w:val="26"/>
                <w:szCs w:val="26"/>
              </w:rPr>
            </w:pPr>
            <w:r>
              <w:rPr>
                <w:rFonts w:ascii="Times New Roman" w:hAnsi="Times New Roman"/>
                <w:color w:val="auto"/>
                <w:sz w:val="26"/>
                <w:szCs w:val="26"/>
              </w:rPr>
              <w:t>Bảng</w:t>
            </w:r>
          </w:p>
        </w:tc>
        <w:tc>
          <w:tcPr>
            <w:tcW w:w="1296"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3F217835">
            <w:pPr>
              <w:spacing w:before="20" w:after="20"/>
              <w:jc w:val="center"/>
              <w:rPr>
                <w:color w:val="auto"/>
                <w:sz w:val="26"/>
                <w:szCs w:val="26"/>
              </w:rPr>
            </w:pPr>
            <w:r>
              <w:rPr>
                <w:rFonts w:ascii="Times New Roman" w:hAnsi="Times New Roman"/>
                <w:color w:val="auto"/>
                <w:sz w:val="26"/>
                <w:szCs w:val="26"/>
              </w:rPr>
              <w:t>0,870 ± 0,010</w:t>
            </w:r>
          </w:p>
        </w:tc>
        <w:tc>
          <w:tcPr>
            <w:tcW w:w="115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3837D548">
            <w:pPr>
              <w:spacing w:before="20" w:after="20"/>
              <w:jc w:val="center"/>
              <w:rPr>
                <w:color w:val="auto"/>
                <w:sz w:val="26"/>
                <w:szCs w:val="26"/>
              </w:rPr>
            </w:pPr>
            <w:r>
              <w:rPr>
                <w:rFonts w:ascii="Times New Roman" w:hAnsi="Times New Roman"/>
                <w:color w:val="auto"/>
                <w:sz w:val="26"/>
                <w:szCs w:val="26"/>
              </w:rPr>
              <w:t>0,582 ± 0,010</w:t>
            </w:r>
          </w:p>
        </w:tc>
        <w:tc>
          <w:tcPr>
            <w:tcW w:w="115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20C7AB7F">
            <w:pPr>
              <w:spacing w:before="20" w:after="20"/>
              <w:jc w:val="center"/>
              <w:rPr>
                <w:color w:val="auto"/>
                <w:sz w:val="26"/>
                <w:szCs w:val="26"/>
              </w:rPr>
            </w:pPr>
            <w:r>
              <w:rPr>
                <w:rFonts w:ascii="Times New Roman" w:hAnsi="Times New Roman"/>
                <w:color w:val="auto"/>
                <w:sz w:val="26"/>
                <w:szCs w:val="26"/>
              </w:rPr>
              <w:t>0,884 ± 0,002</w:t>
            </w:r>
          </w:p>
        </w:tc>
        <w:tc>
          <w:tcPr>
            <w:tcW w:w="1728"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02E4CCCB">
            <w:pPr>
              <w:spacing w:before="20" w:after="20"/>
              <w:jc w:val="center"/>
              <w:rPr>
                <w:color w:val="auto"/>
                <w:sz w:val="26"/>
                <w:szCs w:val="26"/>
              </w:rPr>
            </w:pPr>
            <w:r>
              <w:rPr>
                <w:rFonts w:ascii="Times New Roman" w:hAnsi="Times New Roman"/>
                <w:color w:val="auto"/>
                <w:sz w:val="26"/>
                <w:szCs w:val="26"/>
              </w:rPr>
              <w:t>0,612 (0,578–0,645)</w:t>
            </w:r>
          </w:p>
        </w:tc>
        <w:tc>
          <w:tcPr>
            <w:tcW w:w="115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203ECF4C">
            <w:pPr>
              <w:spacing w:before="20" w:after="20"/>
              <w:jc w:val="center"/>
              <w:rPr>
                <w:color w:val="auto"/>
                <w:sz w:val="26"/>
                <w:szCs w:val="26"/>
              </w:rPr>
            </w:pPr>
            <w:r>
              <w:rPr>
                <w:rFonts w:ascii="Times New Roman" w:hAnsi="Times New Roman"/>
                <w:color w:val="auto"/>
                <w:sz w:val="26"/>
                <w:szCs w:val="26"/>
              </w:rPr>
              <w:t>0,079 ± 0,001</w:t>
            </w:r>
          </w:p>
        </w:tc>
      </w:tr>
    </w:tbl>
    <w:p w14:paraId="0D5A6FD1">
      <w:pPr>
        <w:spacing w:before="80" w:after="120"/>
        <w:rPr>
          <w:color w:val="auto"/>
          <w:sz w:val="26"/>
          <w:szCs w:val="26"/>
        </w:rPr>
      </w:pPr>
    </w:p>
    <w:p w14:paraId="14073EAB">
      <w:pPr>
        <w:spacing w:before="0" w:after="120" w:line="276" w:lineRule="auto"/>
        <w:jc w:val="left"/>
        <w:rPr>
          <w:rFonts w:ascii="Times New Roman" w:hAnsi="Times New Roman"/>
          <w:i/>
          <w:color w:val="auto"/>
          <w:sz w:val="26"/>
          <w:szCs w:val="26"/>
        </w:rPr>
      </w:pPr>
      <w:r>
        <w:rPr>
          <w:rFonts w:ascii="Times New Roman" w:hAnsi="Times New Roman"/>
          <w:i/>
          <w:color w:val="auto"/>
          <w:sz w:val="26"/>
          <w:szCs w:val="26"/>
        </w:rPr>
        <w:t>Bảng 2: Bảng đối sánh hiệu năng chính thức trên tập Test (trung bình 5 seeds, KTC 95% Bootstrap)</w:t>
      </w:r>
    </w:p>
    <w:p w14:paraId="5F638826">
      <w:pPr>
        <w:spacing w:before="0" w:after="120" w:line="276" w:lineRule="auto"/>
        <w:jc w:val="left"/>
        <w:rPr>
          <w:rFonts w:ascii="Times New Roman" w:hAnsi="Times New Roman"/>
          <w:i/>
          <w:color w:val="auto"/>
          <w:sz w:val="26"/>
          <w:szCs w:val="26"/>
        </w:rPr>
      </w:pPr>
      <w:r>
        <w:rPr>
          <w:rFonts w:hint="default" w:ascii="Times New Roman" w:hAnsi="Times New Roman"/>
          <w:i/>
          <w:color w:val="auto"/>
          <w:sz w:val="26"/>
          <w:szCs w:val="26"/>
        </w:rPr>
        <w:t>Về Brier Score: Do bài toán có lớp dương hiếm (~14.2%), MPNN sử dụng hàm mất mát Weighted BCE với trọng số pos_weight = 6.31 nhằm tối ưu tối đa năng lực nhận diện pha bóng nguy hiểm (Recall và PR-AU</w:t>
      </w:r>
      <w:bookmarkStart w:id="0" w:name="_GoBack"/>
      <w:bookmarkEnd w:id="0"/>
      <w:r>
        <w:rPr>
          <w:rFonts w:hint="default" w:ascii="Times New Roman" w:hAnsi="Times New Roman"/>
          <w:i/>
          <w:color w:val="auto"/>
          <w:sz w:val="26"/>
          <w:szCs w:val="26"/>
        </w:rPr>
        <w:t>C). Việc này khiến xác suất đầu ra của MPNN hơi bị phóng đại (over-confident) so với tần suất thực tế, dẫn đến Brier Score cao hơn nhóm phi đồ thị vốn không áp dụng trọng số phạt mất cân bằng lớp.</w:t>
      </w:r>
    </w:p>
    <w:p w14:paraId="2EFBA02B">
      <w:pPr>
        <w:spacing w:before="0" w:after="80" w:line="276" w:lineRule="auto"/>
        <w:jc w:val="left"/>
        <w:rPr>
          <w:color w:val="auto"/>
          <w:sz w:val="26"/>
          <w:szCs w:val="26"/>
        </w:rPr>
      </w:pPr>
      <w:r>
        <w:rPr>
          <w:rFonts w:ascii="Times New Roman" w:hAnsi="Times New Roman"/>
          <w:i w:val="0"/>
          <w:color w:val="auto"/>
          <w:sz w:val="26"/>
          <w:szCs w:val="26"/>
        </w:rPr>
        <w:t>Kết quả kiểm định ý nghĩa thống kê bắt cặp (Paired Cluster Bootstrap theo trận, hiệu chỉnh Holm-Bonferroni; nguồn: significance_tests.csv):</w:t>
      </w:r>
    </w:p>
    <w:tbl>
      <w:tblPr>
        <w:tblStyle w:val="12"/>
        <w:tblW w:w="0" w:type="auto"/>
        <w:jc w:val="center"/>
        <w:tblLayout w:type="fixed"/>
        <w:tblCellMar>
          <w:top w:w="0" w:type="dxa"/>
          <w:left w:w="108" w:type="dxa"/>
          <w:bottom w:w="0" w:type="dxa"/>
          <w:right w:w="108" w:type="dxa"/>
        </w:tblCellMar>
      </w:tblPr>
      <w:tblGrid>
        <w:gridCol w:w="1625"/>
        <w:gridCol w:w="1625"/>
        <w:gridCol w:w="1625"/>
        <w:gridCol w:w="1625"/>
        <w:gridCol w:w="1625"/>
        <w:gridCol w:w="1625"/>
      </w:tblGrid>
      <w:tr w14:paraId="0D0A58FD">
        <w:tblPrEx>
          <w:tblCellMar>
            <w:top w:w="0" w:type="dxa"/>
            <w:left w:w="108" w:type="dxa"/>
            <w:bottom w:w="0" w:type="dxa"/>
            <w:right w:w="108" w:type="dxa"/>
          </w:tblCellMar>
        </w:tblPrEx>
        <w:trPr>
          <w:tblHeader/>
          <w:jc w:val="center"/>
        </w:trPr>
        <w:tc>
          <w:tcPr>
            <w:tcW w:w="2304"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1CFDD560">
            <w:pPr>
              <w:spacing w:before="40" w:after="40"/>
              <w:jc w:val="center"/>
              <w:rPr>
                <w:color w:val="auto"/>
                <w:sz w:val="26"/>
                <w:szCs w:val="26"/>
              </w:rPr>
            </w:pPr>
            <w:r>
              <w:rPr>
                <w:rFonts w:ascii="Times New Roman" w:hAnsi="Times New Roman"/>
                <w:b/>
                <w:color w:val="auto"/>
                <w:sz w:val="26"/>
                <w:szCs w:val="26"/>
              </w:rPr>
              <w:t>Cặp đối sánh</w:t>
            </w:r>
          </w:p>
        </w:tc>
        <w:tc>
          <w:tcPr>
            <w:tcW w:w="1152"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77332216">
            <w:pPr>
              <w:spacing w:before="40" w:after="40"/>
              <w:jc w:val="center"/>
              <w:rPr>
                <w:color w:val="auto"/>
                <w:sz w:val="26"/>
                <w:szCs w:val="26"/>
              </w:rPr>
            </w:pPr>
            <w:r>
              <w:rPr>
                <w:rFonts w:ascii="Times New Roman" w:hAnsi="Times New Roman"/>
                <w:b/>
                <w:color w:val="auto"/>
                <w:sz w:val="26"/>
                <w:szCs w:val="26"/>
              </w:rPr>
              <w:t>Độ đo</w:t>
            </w:r>
          </w:p>
        </w:tc>
        <w:tc>
          <w:tcPr>
            <w:tcW w:w="1728"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3FF7277A">
            <w:pPr>
              <w:spacing w:before="40" w:after="40"/>
              <w:jc w:val="center"/>
              <w:rPr>
                <w:color w:val="auto"/>
                <w:sz w:val="26"/>
                <w:szCs w:val="26"/>
              </w:rPr>
            </w:pPr>
            <w:r>
              <w:rPr>
                <w:rFonts w:ascii="Times New Roman" w:hAnsi="Times New Roman"/>
                <w:b/>
                <w:color w:val="auto"/>
                <w:sz w:val="26"/>
                <w:szCs w:val="26"/>
              </w:rPr>
              <w:t>Chênh lệch (MPNN − Đối thủ)</w:t>
            </w:r>
          </w:p>
        </w:tc>
        <w:tc>
          <w:tcPr>
            <w:tcW w:w="1584"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402A2655">
            <w:pPr>
              <w:spacing w:before="40" w:after="40"/>
              <w:jc w:val="center"/>
              <w:rPr>
                <w:color w:val="auto"/>
                <w:sz w:val="26"/>
                <w:szCs w:val="26"/>
              </w:rPr>
            </w:pPr>
            <w:r>
              <w:rPr>
                <w:rFonts w:ascii="Times New Roman" w:hAnsi="Times New Roman"/>
                <w:b/>
                <w:color w:val="auto"/>
                <w:sz w:val="26"/>
                <w:szCs w:val="26"/>
              </w:rPr>
              <w:t>KTC 95%</w:t>
            </w:r>
          </w:p>
        </w:tc>
        <w:tc>
          <w:tcPr>
            <w:tcW w:w="1152"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221C41A4">
            <w:pPr>
              <w:spacing w:before="40" w:after="40"/>
              <w:jc w:val="center"/>
              <w:rPr>
                <w:color w:val="auto"/>
                <w:sz w:val="26"/>
                <w:szCs w:val="26"/>
              </w:rPr>
            </w:pPr>
            <w:r>
              <w:rPr>
                <w:rFonts w:ascii="Times New Roman" w:hAnsi="Times New Roman"/>
                <w:b/>
                <w:color w:val="auto"/>
                <w:sz w:val="26"/>
                <w:szCs w:val="26"/>
              </w:rPr>
              <w:t>p-value (Holm)</w:t>
            </w:r>
          </w:p>
        </w:tc>
        <w:tc>
          <w:tcPr>
            <w:tcW w:w="2304"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6503226B">
            <w:pPr>
              <w:spacing w:before="40" w:after="40"/>
              <w:jc w:val="center"/>
              <w:rPr>
                <w:color w:val="auto"/>
                <w:sz w:val="26"/>
                <w:szCs w:val="26"/>
              </w:rPr>
            </w:pPr>
            <w:r>
              <w:rPr>
                <w:rFonts w:ascii="Times New Roman" w:hAnsi="Times New Roman"/>
                <w:b/>
                <w:color w:val="auto"/>
                <w:sz w:val="26"/>
                <w:szCs w:val="26"/>
              </w:rPr>
              <w:t>Kết luận thống kê</w:t>
            </w:r>
          </w:p>
        </w:tc>
      </w:tr>
      <w:tr w14:paraId="309E2F1E">
        <w:tblPrEx>
          <w:tblCellMar>
            <w:top w:w="0" w:type="dxa"/>
            <w:left w:w="108" w:type="dxa"/>
            <w:bottom w:w="0" w:type="dxa"/>
            <w:right w:w="108" w:type="dxa"/>
          </w:tblCellMar>
        </w:tblPrEx>
        <w:trPr>
          <w:jc w:val="center"/>
        </w:trPr>
        <w:tc>
          <w:tcPr>
            <w:tcW w:w="230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7E71E056">
            <w:pPr>
              <w:spacing w:before="20" w:after="20"/>
              <w:jc w:val="center"/>
              <w:rPr>
                <w:color w:val="auto"/>
                <w:sz w:val="26"/>
                <w:szCs w:val="26"/>
              </w:rPr>
            </w:pPr>
            <w:r>
              <w:rPr>
                <w:rFonts w:ascii="Times New Roman" w:hAnsi="Times New Roman"/>
                <w:b/>
                <w:color w:val="auto"/>
                <w:sz w:val="26"/>
                <w:szCs w:val="26"/>
              </w:rPr>
              <w:t>MPNN vs Random Forest</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7764DD36">
            <w:pPr>
              <w:spacing w:before="20" w:after="20"/>
              <w:jc w:val="center"/>
              <w:rPr>
                <w:color w:val="auto"/>
                <w:sz w:val="26"/>
                <w:szCs w:val="26"/>
              </w:rPr>
            </w:pPr>
            <w:r>
              <w:rPr>
                <w:rFonts w:ascii="Times New Roman" w:hAnsi="Times New Roman"/>
                <w:color w:val="auto"/>
                <w:sz w:val="26"/>
                <w:szCs w:val="26"/>
              </w:rPr>
              <w:t>AUC-PR</w:t>
            </w:r>
          </w:p>
        </w:tc>
        <w:tc>
          <w:tcPr>
            <w:tcW w:w="1728"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4063B1C3">
            <w:pPr>
              <w:spacing w:before="20" w:after="20"/>
              <w:jc w:val="center"/>
              <w:rPr>
                <w:color w:val="auto"/>
                <w:sz w:val="26"/>
                <w:szCs w:val="26"/>
              </w:rPr>
            </w:pPr>
            <w:r>
              <w:rPr>
                <w:rFonts w:ascii="Times New Roman" w:hAnsi="Times New Roman"/>
                <w:color w:val="auto"/>
                <w:sz w:val="26"/>
                <w:szCs w:val="26"/>
              </w:rPr>
              <w:t>−0,020</w:t>
            </w:r>
          </w:p>
        </w:tc>
        <w:tc>
          <w:tcPr>
            <w:tcW w:w="158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738578BE">
            <w:pPr>
              <w:spacing w:before="20" w:after="20"/>
              <w:jc w:val="center"/>
              <w:rPr>
                <w:color w:val="auto"/>
                <w:sz w:val="26"/>
                <w:szCs w:val="26"/>
              </w:rPr>
            </w:pPr>
            <w:r>
              <w:rPr>
                <w:rFonts w:ascii="Times New Roman" w:hAnsi="Times New Roman"/>
                <w:color w:val="auto"/>
                <w:sz w:val="26"/>
                <w:szCs w:val="26"/>
              </w:rPr>
              <w:t>(−0,042; +0,002)</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005C2F7D">
            <w:pPr>
              <w:spacing w:before="20" w:after="20"/>
              <w:jc w:val="center"/>
              <w:rPr>
                <w:color w:val="auto"/>
                <w:sz w:val="26"/>
                <w:szCs w:val="26"/>
              </w:rPr>
            </w:pPr>
            <w:r>
              <w:rPr>
                <w:rFonts w:ascii="Times New Roman" w:hAnsi="Times New Roman"/>
                <w:color w:val="auto"/>
                <w:sz w:val="26"/>
                <w:szCs w:val="26"/>
              </w:rPr>
              <w:t>0,27</w:t>
            </w:r>
          </w:p>
        </w:tc>
        <w:tc>
          <w:tcPr>
            <w:tcW w:w="230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2B636341">
            <w:pPr>
              <w:spacing w:before="20" w:after="20"/>
              <w:jc w:val="center"/>
              <w:rPr>
                <w:color w:val="auto"/>
                <w:sz w:val="26"/>
                <w:szCs w:val="26"/>
              </w:rPr>
            </w:pPr>
            <w:r>
              <w:rPr>
                <w:rFonts w:ascii="Times New Roman" w:hAnsi="Times New Roman"/>
                <w:color w:val="auto"/>
                <w:sz w:val="26"/>
                <w:szCs w:val="26"/>
              </w:rPr>
              <w:t>Không khác biệt có ý nghĩa (p &gt; 0,05)</w:t>
            </w:r>
          </w:p>
        </w:tc>
      </w:tr>
      <w:tr w14:paraId="4BACCEFA">
        <w:tblPrEx>
          <w:tblCellMar>
            <w:top w:w="0" w:type="dxa"/>
            <w:left w:w="108" w:type="dxa"/>
            <w:bottom w:w="0" w:type="dxa"/>
            <w:right w:w="108" w:type="dxa"/>
          </w:tblCellMar>
        </w:tblPrEx>
        <w:trPr>
          <w:jc w:val="center"/>
        </w:trPr>
        <w:tc>
          <w:tcPr>
            <w:tcW w:w="230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38B48215">
            <w:pPr>
              <w:spacing w:before="20" w:after="20"/>
              <w:jc w:val="center"/>
              <w:rPr>
                <w:color w:val="auto"/>
                <w:sz w:val="26"/>
                <w:szCs w:val="26"/>
              </w:rPr>
            </w:pPr>
            <w:r>
              <w:rPr>
                <w:rFonts w:ascii="Times New Roman" w:hAnsi="Times New Roman"/>
                <w:b/>
                <w:color w:val="auto"/>
                <w:sz w:val="26"/>
                <w:szCs w:val="26"/>
              </w:rPr>
              <w:t>MPNN vs ANN</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6F1B56EB">
            <w:pPr>
              <w:spacing w:before="20" w:after="20"/>
              <w:jc w:val="center"/>
              <w:rPr>
                <w:color w:val="auto"/>
                <w:sz w:val="26"/>
                <w:szCs w:val="26"/>
              </w:rPr>
            </w:pPr>
            <w:r>
              <w:rPr>
                <w:rFonts w:ascii="Times New Roman" w:hAnsi="Times New Roman"/>
                <w:color w:val="auto"/>
                <w:sz w:val="26"/>
                <w:szCs w:val="26"/>
              </w:rPr>
              <w:t>AUC-PR</w:t>
            </w:r>
          </w:p>
        </w:tc>
        <w:tc>
          <w:tcPr>
            <w:tcW w:w="1728"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1B064F3B">
            <w:pPr>
              <w:spacing w:before="20" w:after="20"/>
              <w:jc w:val="center"/>
              <w:rPr>
                <w:color w:val="auto"/>
                <w:sz w:val="26"/>
                <w:szCs w:val="26"/>
              </w:rPr>
            </w:pPr>
            <w:r>
              <w:rPr>
                <w:rFonts w:ascii="Times New Roman" w:hAnsi="Times New Roman"/>
                <w:color w:val="auto"/>
                <w:sz w:val="26"/>
                <w:szCs w:val="26"/>
              </w:rPr>
              <w:t>−0,012</w:t>
            </w:r>
          </w:p>
        </w:tc>
        <w:tc>
          <w:tcPr>
            <w:tcW w:w="158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5A86C707">
            <w:pPr>
              <w:spacing w:before="20" w:after="20"/>
              <w:jc w:val="center"/>
              <w:rPr>
                <w:color w:val="auto"/>
                <w:sz w:val="26"/>
                <w:szCs w:val="26"/>
              </w:rPr>
            </w:pPr>
            <w:r>
              <w:rPr>
                <w:rFonts w:ascii="Times New Roman" w:hAnsi="Times New Roman"/>
                <w:color w:val="auto"/>
                <w:sz w:val="26"/>
                <w:szCs w:val="26"/>
              </w:rPr>
              <w:t>(−0,026; +0,002)</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1C72A110">
            <w:pPr>
              <w:spacing w:before="20" w:after="20"/>
              <w:jc w:val="center"/>
              <w:rPr>
                <w:color w:val="auto"/>
                <w:sz w:val="26"/>
                <w:szCs w:val="26"/>
              </w:rPr>
            </w:pPr>
            <w:r>
              <w:rPr>
                <w:rFonts w:ascii="Times New Roman" w:hAnsi="Times New Roman"/>
                <w:color w:val="auto"/>
                <w:sz w:val="26"/>
                <w:szCs w:val="26"/>
              </w:rPr>
              <w:t>0,27</w:t>
            </w:r>
          </w:p>
        </w:tc>
        <w:tc>
          <w:tcPr>
            <w:tcW w:w="230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2352C72F">
            <w:pPr>
              <w:spacing w:before="20" w:after="20"/>
              <w:jc w:val="center"/>
              <w:rPr>
                <w:color w:val="auto"/>
                <w:sz w:val="26"/>
                <w:szCs w:val="26"/>
              </w:rPr>
            </w:pPr>
            <w:r>
              <w:rPr>
                <w:rFonts w:ascii="Times New Roman" w:hAnsi="Times New Roman"/>
                <w:color w:val="auto"/>
                <w:sz w:val="26"/>
                <w:szCs w:val="26"/>
              </w:rPr>
              <w:t>Không khác biệt có ý nghĩa (p &gt; 0,05)</w:t>
            </w:r>
          </w:p>
        </w:tc>
      </w:tr>
      <w:tr w14:paraId="3A9DE8C0">
        <w:tblPrEx>
          <w:tblCellMar>
            <w:top w:w="0" w:type="dxa"/>
            <w:left w:w="108" w:type="dxa"/>
            <w:bottom w:w="0" w:type="dxa"/>
            <w:right w:w="108" w:type="dxa"/>
          </w:tblCellMar>
        </w:tblPrEx>
        <w:trPr>
          <w:jc w:val="center"/>
        </w:trPr>
        <w:tc>
          <w:tcPr>
            <w:tcW w:w="230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3520121E">
            <w:pPr>
              <w:spacing w:before="20" w:after="20"/>
              <w:jc w:val="center"/>
              <w:rPr>
                <w:color w:val="auto"/>
                <w:sz w:val="26"/>
                <w:szCs w:val="26"/>
              </w:rPr>
            </w:pPr>
            <w:r>
              <w:rPr>
                <w:rFonts w:ascii="Times New Roman" w:hAnsi="Times New Roman"/>
                <w:b/>
                <w:color w:val="auto"/>
                <w:sz w:val="26"/>
                <w:szCs w:val="26"/>
              </w:rPr>
              <w:t>MPNN vs Random Forest</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119D9EF5">
            <w:pPr>
              <w:spacing w:before="20" w:after="20"/>
              <w:jc w:val="center"/>
              <w:rPr>
                <w:color w:val="auto"/>
                <w:sz w:val="26"/>
                <w:szCs w:val="26"/>
              </w:rPr>
            </w:pPr>
            <w:r>
              <w:rPr>
                <w:rFonts w:ascii="Times New Roman" w:hAnsi="Times New Roman"/>
                <w:color w:val="auto"/>
                <w:sz w:val="26"/>
                <w:szCs w:val="26"/>
              </w:rPr>
              <w:t>AUC-ROC</w:t>
            </w:r>
          </w:p>
        </w:tc>
        <w:tc>
          <w:tcPr>
            <w:tcW w:w="1728"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6261A608">
            <w:pPr>
              <w:spacing w:before="20" w:after="20"/>
              <w:jc w:val="center"/>
              <w:rPr>
                <w:color w:val="auto"/>
                <w:sz w:val="26"/>
                <w:szCs w:val="26"/>
              </w:rPr>
            </w:pPr>
            <w:r>
              <w:rPr>
                <w:rFonts w:ascii="Times New Roman" w:hAnsi="Times New Roman"/>
                <w:color w:val="auto"/>
                <w:sz w:val="26"/>
                <w:szCs w:val="26"/>
              </w:rPr>
              <w:t>−0,010</w:t>
            </w:r>
          </w:p>
        </w:tc>
        <w:tc>
          <w:tcPr>
            <w:tcW w:w="158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708BFB68">
            <w:pPr>
              <w:spacing w:before="20" w:after="20"/>
              <w:jc w:val="center"/>
              <w:rPr>
                <w:color w:val="auto"/>
                <w:sz w:val="26"/>
                <w:szCs w:val="26"/>
              </w:rPr>
            </w:pPr>
            <w:r>
              <w:rPr>
                <w:rFonts w:ascii="Times New Roman" w:hAnsi="Times New Roman"/>
                <w:color w:val="auto"/>
                <w:sz w:val="26"/>
                <w:szCs w:val="26"/>
              </w:rPr>
              <w:t>(−0,018; −0,002)</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22EFBA1B">
            <w:pPr>
              <w:spacing w:before="20" w:after="20"/>
              <w:jc w:val="center"/>
              <w:rPr>
                <w:color w:val="auto"/>
                <w:sz w:val="26"/>
                <w:szCs w:val="26"/>
              </w:rPr>
            </w:pPr>
            <w:r>
              <w:rPr>
                <w:rFonts w:ascii="Times New Roman" w:hAnsi="Times New Roman"/>
                <w:color w:val="auto"/>
                <w:sz w:val="26"/>
                <w:szCs w:val="26"/>
              </w:rPr>
              <w:t>0,05</w:t>
            </w:r>
          </w:p>
        </w:tc>
        <w:tc>
          <w:tcPr>
            <w:tcW w:w="230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55EA9424">
            <w:pPr>
              <w:spacing w:before="20" w:after="20"/>
              <w:jc w:val="center"/>
              <w:rPr>
                <w:color w:val="auto"/>
                <w:sz w:val="26"/>
                <w:szCs w:val="26"/>
              </w:rPr>
            </w:pPr>
            <w:r>
              <w:rPr>
                <w:rFonts w:ascii="Times New Roman" w:hAnsi="Times New Roman"/>
                <w:color w:val="auto"/>
                <w:sz w:val="26"/>
                <w:szCs w:val="26"/>
              </w:rPr>
              <w:t>Không khác biệt có ý nghĩa (sát ngưỡng)</w:t>
            </w:r>
          </w:p>
        </w:tc>
      </w:tr>
      <w:tr w14:paraId="3319E8A4">
        <w:tblPrEx>
          <w:tblCellMar>
            <w:top w:w="0" w:type="dxa"/>
            <w:left w:w="108" w:type="dxa"/>
            <w:bottom w:w="0" w:type="dxa"/>
            <w:right w:w="108" w:type="dxa"/>
          </w:tblCellMar>
        </w:tblPrEx>
        <w:trPr>
          <w:jc w:val="center"/>
        </w:trPr>
        <w:tc>
          <w:tcPr>
            <w:tcW w:w="230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5B5FA151">
            <w:pPr>
              <w:spacing w:before="20" w:after="20"/>
              <w:jc w:val="center"/>
              <w:rPr>
                <w:color w:val="auto"/>
                <w:sz w:val="26"/>
                <w:szCs w:val="26"/>
              </w:rPr>
            </w:pPr>
            <w:r>
              <w:rPr>
                <w:rFonts w:ascii="Times New Roman" w:hAnsi="Times New Roman"/>
                <w:b/>
                <w:color w:val="auto"/>
                <w:sz w:val="26"/>
                <w:szCs w:val="26"/>
              </w:rPr>
              <w:t>MPNN vs ANN</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1911A488">
            <w:pPr>
              <w:spacing w:before="20" w:after="20"/>
              <w:jc w:val="center"/>
              <w:rPr>
                <w:color w:val="auto"/>
                <w:sz w:val="26"/>
                <w:szCs w:val="26"/>
              </w:rPr>
            </w:pPr>
            <w:r>
              <w:rPr>
                <w:rFonts w:ascii="Times New Roman" w:hAnsi="Times New Roman"/>
                <w:color w:val="auto"/>
                <w:sz w:val="26"/>
                <w:szCs w:val="26"/>
              </w:rPr>
              <w:t>AUC-ROC</w:t>
            </w:r>
          </w:p>
        </w:tc>
        <w:tc>
          <w:tcPr>
            <w:tcW w:w="1728"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7958CD53">
            <w:pPr>
              <w:spacing w:before="20" w:after="20"/>
              <w:jc w:val="center"/>
              <w:rPr>
                <w:color w:val="auto"/>
                <w:sz w:val="26"/>
                <w:szCs w:val="26"/>
              </w:rPr>
            </w:pPr>
            <w:r>
              <w:rPr>
                <w:rFonts w:ascii="Times New Roman" w:hAnsi="Times New Roman"/>
                <w:color w:val="auto"/>
                <w:sz w:val="26"/>
                <w:szCs w:val="26"/>
              </w:rPr>
              <w:t>−0,008</w:t>
            </w:r>
          </w:p>
        </w:tc>
        <w:tc>
          <w:tcPr>
            <w:tcW w:w="158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4E9D4A9C">
            <w:pPr>
              <w:spacing w:before="20" w:after="20"/>
              <w:jc w:val="center"/>
              <w:rPr>
                <w:color w:val="auto"/>
                <w:sz w:val="26"/>
                <w:szCs w:val="26"/>
              </w:rPr>
            </w:pPr>
            <w:r>
              <w:rPr>
                <w:rFonts w:ascii="Times New Roman" w:hAnsi="Times New Roman"/>
                <w:color w:val="auto"/>
                <w:sz w:val="26"/>
                <w:szCs w:val="26"/>
              </w:rPr>
              <w:t>(−0,015; −0,002)</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0CC5E7DE">
            <w:pPr>
              <w:spacing w:before="20" w:after="20"/>
              <w:jc w:val="center"/>
              <w:rPr>
                <w:color w:val="auto"/>
                <w:sz w:val="26"/>
                <w:szCs w:val="26"/>
              </w:rPr>
            </w:pPr>
            <w:r>
              <w:rPr>
                <w:rFonts w:ascii="Times New Roman" w:hAnsi="Times New Roman"/>
                <w:color w:val="auto"/>
                <w:sz w:val="26"/>
                <w:szCs w:val="26"/>
              </w:rPr>
              <w:t>0,05</w:t>
            </w:r>
          </w:p>
        </w:tc>
        <w:tc>
          <w:tcPr>
            <w:tcW w:w="230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7FEA2F5E">
            <w:pPr>
              <w:spacing w:before="20" w:after="20"/>
              <w:jc w:val="center"/>
              <w:rPr>
                <w:color w:val="auto"/>
                <w:sz w:val="26"/>
                <w:szCs w:val="26"/>
              </w:rPr>
            </w:pPr>
            <w:r>
              <w:rPr>
                <w:rFonts w:ascii="Times New Roman" w:hAnsi="Times New Roman"/>
                <w:color w:val="auto"/>
                <w:sz w:val="26"/>
                <w:szCs w:val="26"/>
              </w:rPr>
              <w:t>Không khác biệt có ý nghĩa (sát ngưỡng)</w:t>
            </w:r>
          </w:p>
        </w:tc>
      </w:tr>
      <w:tr w14:paraId="01E4962D">
        <w:tblPrEx>
          <w:tblCellMar>
            <w:top w:w="0" w:type="dxa"/>
            <w:left w:w="108" w:type="dxa"/>
            <w:bottom w:w="0" w:type="dxa"/>
            <w:right w:w="108" w:type="dxa"/>
          </w:tblCellMar>
        </w:tblPrEx>
        <w:trPr>
          <w:jc w:val="center"/>
        </w:trPr>
        <w:tc>
          <w:tcPr>
            <w:tcW w:w="230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083949F5">
            <w:pPr>
              <w:spacing w:before="20" w:after="20"/>
              <w:jc w:val="center"/>
              <w:rPr>
                <w:color w:val="auto"/>
                <w:sz w:val="26"/>
                <w:szCs w:val="26"/>
              </w:rPr>
            </w:pPr>
            <w:r>
              <w:rPr>
                <w:rFonts w:ascii="Times New Roman" w:hAnsi="Times New Roman"/>
                <w:b/>
                <w:color w:val="auto"/>
                <w:sz w:val="26"/>
                <w:szCs w:val="26"/>
              </w:rPr>
              <w:t>MPNN vs Logistic Reg.</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64B2CB33">
            <w:pPr>
              <w:spacing w:before="20" w:after="20"/>
              <w:jc w:val="center"/>
              <w:rPr>
                <w:color w:val="auto"/>
                <w:sz w:val="26"/>
                <w:szCs w:val="26"/>
              </w:rPr>
            </w:pPr>
            <w:r>
              <w:rPr>
                <w:rFonts w:ascii="Times New Roman" w:hAnsi="Times New Roman"/>
                <w:color w:val="auto"/>
                <w:sz w:val="26"/>
                <w:szCs w:val="26"/>
              </w:rPr>
              <w:t>AUC-PR</w:t>
            </w:r>
          </w:p>
        </w:tc>
        <w:tc>
          <w:tcPr>
            <w:tcW w:w="1728"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6A4F7186">
            <w:pPr>
              <w:spacing w:before="20" w:after="20"/>
              <w:jc w:val="center"/>
              <w:rPr>
                <w:color w:val="auto"/>
                <w:sz w:val="26"/>
                <w:szCs w:val="26"/>
              </w:rPr>
            </w:pPr>
            <w:r>
              <w:rPr>
                <w:rFonts w:ascii="Times New Roman" w:hAnsi="Times New Roman"/>
                <w:color w:val="auto"/>
                <w:sz w:val="26"/>
                <w:szCs w:val="26"/>
              </w:rPr>
              <w:t>+0,262</w:t>
            </w:r>
          </w:p>
        </w:tc>
        <w:tc>
          <w:tcPr>
            <w:tcW w:w="158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5917289C">
            <w:pPr>
              <w:spacing w:before="20" w:after="20"/>
              <w:jc w:val="center"/>
              <w:rPr>
                <w:color w:val="auto"/>
                <w:sz w:val="26"/>
                <w:szCs w:val="26"/>
              </w:rPr>
            </w:pPr>
            <w:r>
              <w:rPr>
                <w:rFonts w:ascii="Times New Roman" w:hAnsi="Times New Roman"/>
                <w:color w:val="auto"/>
                <w:sz w:val="26"/>
                <w:szCs w:val="26"/>
              </w:rPr>
              <w:t>(+0,236; +0,285)</w:t>
            </w:r>
          </w:p>
        </w:tc>
        <w:tc>
          <w:tcPr>
            <w:tcW w:w="1152"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7C74AD65">
            <w:pPr>
              <w:spacing w:before="20" w:after="20"/>
              <w:jc w:val="center"/>
              <w:rPr>
                <w:color w:val="auto"/>
                <w:sz w:val="26"/>
                <w:szCs w:val="26"/>
              </w:rPr>
            </w:pPr>
            <w:r>
              <w:rPr>
                <w:rFonts w:ascii="Times New Roman" w:hAnsi="Times New Roman"/>
                <w:color w:val="auto"/>
                <w:sz w:val="26"/>
                <w:szCs w:val="26"/>
              </w:rPr>
              <w:t>0,004</w:t>
            </w:r>
          </w:p>
        </w:tc>
        <w:tc>
          <w:tcPr>
            <w:tcW w:w="2304" w:type="dxa"/>
            <w:tcBorders>
              <w:top w:val="single" w:color="E5E7EB" w:sz="4" w:space="0"/>
              <w:left w:val="single" w:color="F0F0F0" w:sz="4" w:space="0"/>
              <w:bottom w:val="single" w:color="E5E7EB" w:sz="4" w:space="0"/>
              <w:right w:val="single" w:color="F0F0F0" w:sz="4" w:space="0"/>
            </w:tcBorders>
            <w:shd w:val="clear" w:color="auto" w:fill="EFF6FF"/>
            <w:tcMar>
              <w:top w:w="100" w:type="dxa"/>
              <w:left w:w="120" w:type="dxa"/>
              <w:bottom w:w="100" w:type="dxa"/>
              <w:right w:w="120" w:type="dxa"/>
            </w:tcMar>
          </w:tcPr>
          <w:p w14:paraId="2512FCB5">
            <w:pPr>
              <w:spacing w:before="20" w:after="20"/>
              <w:jc w:val="center"/>
              <w:rPr>
                <w:color w:val="auto"/>
                <w:sz w:val="26"/>
                <w:szCs w:val="26"/>
              </w:rPr>
            </w:pPr>
            <w:r>
              <w:rPr>
                <w:rFonts w:ascii="Times New Roman" w:hAnsi="Times New Roman"/>
                <w:b/>
                <w:color w:val="auto"/>
                <w:sz w:val="26"/>
                <w:szCs w:val="26"/>
              </w:rPr>
              <w:t>MPNN vượt trội có ý nghĩa thống kê</w:t>
            </w:r>
          </w:p>
        </w:tc>
      </w:tr>
    </w:tbl>
    <w:p w14:paraId="1FA108D2">
      <w:pPr>
        <w:spacing w:before="80" w:after="120"/>
        <w:rPr>
          <w:color w:val="auto"/>
          <w:sz w:val="26"/>
          <w:szCs w:val="26"/>
        </w:rPr>
      </w:pPr>
    </w:p>
    <w:p w14:paraId="6F9C4FC9">
      <w:pPr>
        <w:spacing w:before="0" w:after="120" w:line="276" w:lineRule="auto"/>
        <w:jc w:val="left"/>
        <w:rPr>
          <w:color w:val="auto"/>
          <w:sz w:val="26"/>
          <w:szCs w:val="26"/>
        </w:rPr>
      </w:pPr>
      <w:r>
        <w:rPr>
          <w:rFonts w:ascii="Times New Roman" w:hAnsi="Times New Roman"/>
          <w:i/>
          <w:color w:val="auto"/>
          <w:sz w:val="26"/>
          <w:szCs w:val="26"/>
        </w:rPr>
        <w:t>Bảng 3: Kết quả kiểm định thống kê bắt cặp giữa MPNN và các baseline phi đồ thị</w:t>
      </w:r>
    </w:p>
    <w:p w14:paraId="6EBFC02C">
      <w:pPr>
        <w:keepNext/>
        <w:spacing w:before="180" w:after="80"/>
        <w:rPr>
          <w:color w:val="auto"/>
          <w:sz w:val="26"/>
          <w:szCs w:val="26"/>
        </w:rPr>
      </w:pPr>
      <w:r>
        <w:rPr>
          <w:rFonts w:ascii="Times New Roman" w:hAnsi="Times New Roman"/>
          <w:b/>
          <w:color w:val="auto"/>
          <w:sz w:val="26"/>
          <w:szCs w:val="26"/>
        </w:rPr>
        <w:t>1.6. Khẳng định giá trị học thuật &amp; Vai trò cốt lõi của GNN cho Bài toán 2 (XAI)</w:t>
      </w:r>
    </w:p>
    <w:p w14:paraId="79E4D78D">
      <w:pPr>
        <w:spacing w:before="0" w:after="80" w:line="276" w:lineRule="auto"/>
        <w:jc w:val="left"/>
        <w:rPr>
          <w:color w:val="auto"/>
          <w:sz w:val="26"/>
          <w:szCs w:val="26"/>
        </w:rPr>
      </w:pPr>
      <w:r>
        <w:rPr>
          <w:rFonts w:ascii="Times New Roman" w:hAnsi="Times New Roman"/>
          <w:i w:val="0"/>
          <w:color w:val="auto"/>
          <w:sz w:val="26"/>
          <w:szCs w:val="26"/>
        </w:rPr>
        <w:t>Từ kết quả thực nghiệm trên, nhóm xin khẳng định giá trị phương pháp luận của đề tài trước giảng viên và hội đồng đánh giá:</w:t>
      </w:r>
    </w:p>
    <w:p w14:paraId="47B705B3">
      <w:pPr>
        <w:spacing w:before="0" w:after="80" w:line="276" w:lineRule="auto"/>
        <w:jc w:val="left"/>
        <w:rPr>
          <w:color w:val="auto"/>
          <w:sz w:val="26"/>
          <w:szCs w:val="26"/>
        </w:rPr>
      </w:pPr>
      <w:r>
        <w:rPr>
          <w:rFonts w:ascii="Times New Roman" w:hAnsi="Times New Roman"/>
          <w:b/>
          <w:color w:val="auto"/>
          <w:sz w:val="26"/>
          <w:szCs w:val="26"/>
        </w:rPr>
        <w:t xml:space="preserve">1. Về tính giải thích (Explainability): </w:t>
      </w:r>
      <w:r>
        <w:rPr>
          <w:rFonts w:ascii="Times New Roman" w:hAnsi="Times New Roman"/>
          <w:i w:val="0"/>
          <w:color w:val="auto"/>
          <w:sz w:val="26"/>
          <w:szCs w:val="26"/>
        </w:rPr>
        <w:t>Mô hình dạng bảng (RF, ANN) ép toàn bộ một chuỗi phối hợp 5–15 đường chuyền thành 1 vector 10 chiều. Quá trình phẳng hóa này phá hủy hoàn toàn topo mạng: không còn biết ai chuyền cho ai, hướng di chuyển chiến thuật ra sao, và cấu trúc tam giác phối hợp thế nào. Do đó, mô hình phi đồ thị HOÀN TOÀN BẤT KHẢ THI trong việc áp dụng giải thích ở mức đường chuyền (edge-level XAI) hay tính toán chỉ số Hybrid Centrality cho cầu thủ.</w:t>
      </w:r>
    </w:p>
    <w:p w14:paraId="3682887D">
      <w:pPr>
        <w:spacing w:before="0" w:after="80" w:line="276" w:lineRule="auto"/>
        <w:jc w:val="left"/>
        <w:rPr>
          <w:color w:val="auto"/>
          <w:sz w:val="26"/>
          <w:szCs w:val="26"/>
        </w:rPr>
      </w:pPr>
      <w:r>
        <w:rPr>
          <w:rFonts w:ascii="Times New Roman" w:hAnsi="Times New Roman"/>
          <w:b/>
          <w:color w:val="auto"/>
          <w:sz w:val="26"/>
          <w:szCs w:val="26"/>
        </w:rPr>
        <w:t xml:space="preserve">2. Về tính toàn vẹn nghiên cứu: </w:t>
      </w:r>
      <w:r>
        <w:rPr>
          <w:rFonts w:ascii="Times New Roman" w:hAnsi="Times New Roman"/>
          <w:i w:val="0"/>
          <w:color w:val="auto"/>
          <w:sz w:val="26"/>
          <w:szCs w:val="26"/>
        </w:rPr>
        <w:t>GNN (đặc biệt là MPNN) là mô hình duy nhất vừa duy trì hiệu năng dự đoán tiệm cận mô hình dạng bảng mạnh nhất (p = 0,27, không khác biệt thống kê), vừa bảo toàn 100% cấu trúc không gian - thời gian của từng đường chuyền. Đây là điều kiện tiên quyết để triển khai Bài toán 2 (XAI Task): sử dụng GNNExplainer/PGExplainer để bóc tách subgraph quyết định và xây dựng thước đo tầm ảnh hưởng chiến thuật của cầu thủ.</w:t>
      </w:r>
    </w:p>
    <w:p w14:paraId="5613E92F">
      <w:pPr>
        <w:keepNext/>
        <w:spacing w:before="240" w:after="120"/>
        <w:rPr>
          <w:color w:val="4F81BD" w:themeColor="accent1"/>
          <w:sz w:val="30"/>
          <w:szCs w:val="30"/>
          <w14:textFill>
            <w14:solidFill>
              <w14:schemeClr w14:val="accent1"/>
            </w14:solidFill>
          </w14:textFill>
        </w:rPr>
      </w:pPr>
      <w:r>
        <w:rPr>
          <w:rFonts w:ascii="Times New Roman" w:hAnsi="Times New Roman"/>
          <w:b/>
          <w:color w:val="4F81BD" w:themeColor="accent1"/>
          <w:sz w:val="30"/>
          <w:szCs w:val="30"/>
          <w14:textFill>
            <w14:solidFill>
              <w14:schemeClr w14:val="accent1"/>
            </w14:solidFill>
          </w14:textFill>
        </w:rPr>
        <w:t>2. Nội dung thực hiện trong tuần (Từ 12/10/2026 đến 23/10/2026)</w:t>
      </w:r>
    </w:p>
    <w:p w14:paraId="4B602A11">
      <w:pPr>
        <w:spacing w:before="0" w:after="80" w:line="276" w:lineRule="auto"/>
        <w:jc w:val="left"/>
        <w:rPr>
          <w:color w:val="auto"/>
          <w:sz w:val="26"/>
          <w:szCs w:val="26"/>
        </w:rPr>
      </w:pPr>
      <w:r>
        <w:rPr>
          <w:rFonts w:ascii="Times New Roman" w:hAnsi="Times New Roman"/>
          <w:i w:val="0"/>
          <w:color w:val="auto"/>
          <w:sz w:val="26"/>
          <w:szCs w:val="26"/>
        </w:rPr>
        <w:t>Trong hai tuần làm việc vừa qua (12/10 – 23/10/2026), nhóm đã tập trung hoàn thành dứt điểm 4 nhóm công việc trọng tâm:</w:t>
      </w:r>
    </w:p>
    <w:p w14:paraId="4C66A0C4">
      <w:pPr>
        <w:keepNext/>
        <w:spacing w:before="180" w:after="80"/>
        <w:rPr>
          <w:color w:val="auto"/>
          <w:sz w:val="26"/>
          <w:szCs w:val="26"/>
        </w:rPr>
      </w:pPr>
      <w:r>
        <w:rPr>
          <w:rFonts w:ascii="Times New Roman" w:hAnsi="Times New Roman"/>
          <w:b/>
          <w:color w:val="auto"/>
          <w:sz w:val="26"/>
          <w:szCs w:val="26"/>
        </w:rPr>
        <w:t>2.1. Hoàn thành trọn vẹn thí nghiệm Ablation và Kiểm định thống kê 5 seeds (Bước 5–6)</w:t>
      </w:r>
    </w:p>
    <w:p w14:paraId="4C73DEDA">
      <w:pPr>
        <w:spacing w:before="0" w:after="80" w:line="276" w:lineRule="auto"/>
        <w:jc w:val="left"/>
        <w:rPr>
          <w:color w:val="auto"/>
          <w:sz w:val="26"/>
          <w:szCs w:val="26"/>
        </w:rPr>
      </w:pPr>
      <w:r>
        <w:rPr>
          <w:rFonts w:ascii="Times New Roman" w:hAnsi="Times New Roman"/>
          <w:b/>
          <w:color w:val="auto"/>
          <w:sz w:val="26"/>
          <w:szCs w:val="26"/>
        </w:rPr>
        <w:t xml:space="preserve">• Triển khai mã nguồn Ablation: </w:t>
      </w:r>
      <w:r>
        <w:rPr>
          <w:rFonts w:ascii="Times New Roman" w:hAnsi="Times New Roman"/>
          <w:i w:val="0"/>
          <w:color w:val="auto"/>
          <w:sz w:val="26"/>
          <w:szCs w:val="26"/>
        </w:rPr>
        <w:t>Xây dựng pipeline thực nghiệm tự động hóa tại scripts/06c_baseline_feature_ablation.py, huấn luyện lại toàn bộ các cấu hình baseline phi đồ thị qua 5 seeds ngẫu nhiên cố định để bóc tách triệt để vai trò của từng nhóm đặc trưng.</w:t>
      </w:r>
    </w:p>
    <w:p w14:paraId="2021B9F2">
      <w:pPr>
        <w:spacing w:before="0" w:after="80" w:line="276" w:lineRule="auto"/>
        <w:jc w:val="left"/>
        <w:rPr>
          <w:color w:val="auto"/>
          <w:sz w:val="26"/>
          <w:szCs w:val="26"/>
        </w:rPr>
      </w:pPr>
      <w:r>
        <w:rPr>
          <w:rFonts w:ascii="Times New Roman" w:hAnsi="Times New Roman"/>
          <w:b/>
          <w:color w:val="auto"/>
          <w:sz w:val="26"/>
          <w:szCs w:val="26"/>
        </w:rPr>
        <w:t xml:space="preserve">• Tự động hóa kiểm định thống kê: </w:t>
      </w:r>
      <w:r>
        <w:rPr>
          <w:rFonts w:ascii="Times New Roman" w:hAnsi="Times New Roman"/>
          <w:i w:val="0"/>
          <w:color w:val="auto"/>
          <w:sz w:val="26"/>
          <w:szCs w:val="26"/>
        </w:rPr>
        <w:t>Cài đặt thuật toán Non-parametric Cluster Bootstrap lấy mẫu theo cụm trận đấu (cluster by match) với 10.000 iterations để tính khoảng tin cậy 95% chính xác cho PR-AUC, ROC-AUC và Brier Score; tích hợp kiểm định Wilcoxon signed-rank và hiệu chỉnh đa giả thuyết Holm-Bonferroni tự động xuất báo cáo significance_tests.csv.</w:t>
      </w:r>
    </w:p>
    <w:p w14:paraId="1A023424">
      <w:pPr>
        <w:spacing w:before="0" w:after="80" w:line="276" w:lineRule="auto"/>
        <w:jc w:val="left"/>
        <w:rPr>
          <w:color w:val="auto"/>
          <w:sz w:val="26"/>
          <w:szCs w:val="26"/>
        </w:rPr>
      </w:pPr>
      <w:r>
        <w:rPr>
          <w:rFonts w:ascii="Times New Roman" w:hAnsi="Times New Roman"/>
          <w:b/>
          <w:color w:val="auto"/>
          <w:sz w:val="26"/>
          <w:szCs w:val="26"/>
        </w:rPr>
        <w:t xml:space="preserve">• Đóng gói artifact: </w:t>
      </w:r>
      <w:r>
        <w:rPr>
          <w:rFonts w:ascii="Times New Roman" w:hAnsi="Times New Roman"/>
          <w:i w:val="0"/>
          <w:color w:val="auto"/>
          <w:sz w:val="26"/>
          <w:szCs w:val="26"/>
        </w:rPr>
        <w:t>Toàn bộ bảng biểu, biểu đồ PR-ROC curves, và kết quả kiểm định đã được tích hợp đầy đủ vào hệ thống lưu trữ phục vụ bài báo.</w:t>
      </w:r>
    </w:p>
    <w:p w14:paraId="67F6CE86">
      <w:pPr>
        <w:keepNext/>
        <w:spacing w:before="180" w:after="80"/>
        <w:rPr>
          <w:color w:val="auto"/>
          <w:sz w:val="26"/>
          <w:szCs w:val="26"/>
        </w:rPr>
      </w:pPr>
      <w:r>
        <w:rPr>
          <w:rFonts w:ascii="Times New Roman" w:hAnsi="Times New Roman"/>
          <w:b/>
          <w:color w:val="auto"/>
          <w:sz w:val="26"/>
          <w:szCs w:val="26"/>
        </w:rPr>
        <w:t>2.2. Kiểm toán và Chuẩn hóa kho lưu trữ minh chứng tái lập Bước 0–6 (Outputs &amp; Reproducibility Bundle)</w:t>
      </w:r>
    </w:p>
    <w:p w14:paraId="564A9853">
      <w:pPr>
        <w:spacing w:before="0" w:after="80" w:line="276" w:lineRule="auto"/>
        <w:jc w:val="left"/>
        <w:rPr>
          <w:color w:val="auto"/>
          <w:sz w:val="26"/>
          <w:szCs w:val="26"/>
        </w:rPr>
      </w:pPr>
      <w:r>
        <w:rPr>
          <w:rFonts w:ascii="Times New Roman" w:hAnsi="Times New Roman"/>
          <w:i w:val="0"/>
          <w:color w:val="auto"/>
          <w:sz w:val="26"/>
          <w:szCs w:val="26"/>
        </w:rPr>
        <w:t>Để chuẩn bị cho việc bảo vệ đồ án tốt nghiệp và nộp bài báo khoa học theo tiêu chuẩn reproducibility khắt khe, nhóm đã thực hiện một cuộc đại kiểm toán toàn diện mã nguồn và thiết lập hệ thống lưu trữ minh chứng chuẩn hóa tại outputs/:</w:t>
      </w:r>
    </w:p>
    <w:p w14:paraId="1EBE628B">
      <w:pPr>
        <w:spacing w:before="0" w:after="80" w:line="276" w:lineRule="auto"/>
        <w:jc w:val="left"/>
        <w:rPr>
          <w:color w:val="auto"/>
          <w:sz w:val="26"/>
          <w:szCs w:val="26"/>
        </w:rPr>
      </w:pPr>
      <w:r>
        <w:rPr>
          <w:rFonts w:ascii="Times New Roman" w:hAnsi="Times New Roman"/>
          <w:b/>
          <w:color w:val="auto"/>
          <w:sz w:val="26"/>
          <w:szCs w:val="26"/>
        </w:rPr>
        <w:t xml:space="preserve">• Thiết kế cấu trúc Evidence Bundle: </w:t>
      </w:r>
      <w:r>
        <w:rPr>
          <w:rFonts w:ascii="Times New Roman" w:hAnsi="Times New Roman"/>
          <w:i w:val="0"/>
          <w:color w:val="auto"/>
          <w:sz w:val="26"/>
          <w:szCs w:val="26"/>
        </w:rPr>
        <w:t>Tạo module src/xai_football/utils/output_bundle.py chuẩn hóa cây thư mục outputs/step_XX_&lt;name&gt;/runs/&lt;run_id&gt;/ gồm 4 thư mục con (files/, figures/, logs/, reports/) và 1 file manifest.json chuẩn ISO 8601 UTC. Cây thư mục được quản lý tập trung bởi outputs/run_registry.json.</w:t>
      </w:r>
    </w:p>
    <w:p w14:paraId="79CE8080">
      <w:pPr>
        <w:spacing w:before="0" w:after="80" w:line="276" w:lineRule="auto"/>
        <w:jc w:val="left"/>
        <w:rPr>
          <w:color w:val="auto"/>
          <w:sz w:val="26"/>
          <w:szCs w:val="26"/>
        </w:rPr>
      </w:pPr>
      <w:r>
        <w:rPr>
          <w:rFonts w:ascii="Times New Roman" w:hAnsi="Times New Roman"/>
          <w:b/>
          <w:color w:val="auto"/>
          <w:sz w:val="26"/>
          <w:szCs w:val="26"/>
        </w:rPr>
        <w:t xml:space="preserve">• Xây dựng CLI Pipeline Exporter: </w:t>
      </w:r>
      <w:r>
        <w:rPr>
          <w:rFonts w:ascii="Times New Roman" w:hAnsi="Times New Roman"/>
          <w:i w:val="0"/>
          <w:color w:val="auto"/>
          <w:sz w:val="26"/>
          <w:szCs w:val="26"/>
        </w:rPr>
        <w:t>Xây dựng CLI scripts/run_pipeline_0_6.py hỗ trợ 3 chế độ vận hành linh hoạt: existing (trích xuất và xác thực artifact lịch sử), smoke (chạy kiểm thử nhanh toàn bộ luồng pipeline), và official (chạy pipeline đầy đủ). Đã trích xuất và cấp mã định danh thành công cho đợt chạy chính thức official_evaluation_20261021_184358.</w:t>
      </w:r>
    </w:p>
    <w:p w14:paraId="75DC25F3">
      <w:pPr>
        <w:spacing w:before="0" w:after="80" w:line="276" w:lineRule="auto"/>
        <w:jc w:val="left"/>
        <w:rPr>
          <w:color w:val="auto"/>
          <w:sz w:val="26"/>
          <w:szCs w:val="26"/>
        </w:rPr>
      </w:pPr>
      <w:r>
        <w:rPr>
          <w:rFonts w:ascii="Times New Roman" w:hAnsi="Times New Roman"/>
          <w:b/>
          <w:color w:val="auto"/>
          <w:sz w:val="26"/>
          <w:szCs w:val="26"/>
        </w:rPr>
        <w:t xml:space="preserve">• Cơ chế Fingerprint Pointer an toàn: </w:t>
      </w:r>
      <w:r>
        <w:rPr>
          <w:rFonts w:ascii="Times New Roman" w:hAnsi="Times New Roman"/>
          <w:i w:val="0"/>
          <w:color w:val="auto"/>
          <w:sz w:val="26"/>
          <w:szCs w:val="26"/>
        </w:rPr>
        <w:t>Đối với các tệp dữ liệu lớn (như graphs.pt 61,26 MB, checkpoints .pt, bảng parquet), hệ thống tự động sinh tệp pointer JSON (.pointer.json) lưu trữ mã băm SHA-256, dung lượng và đường dẫn tương đối. Đồng thời, cấu hình lại .gitignore cho phép track các minh chứng khoa học quan trọng (JSON manifest, CSV, MD report, log, PNG, SVG) mà không đẩy dữ liệu nặng lên kho lưu trữ GitHub.</w:t>
      </w:r>
    </w:p>
    <w:p w14:paraId="45D01D55">
      <w:pPr>
        <w:spacing w:before="0" w:after="80" w:line="276" w:lineRule="auto"/>
        <w:jc w:val="left"/>
        <w:rPr>
          <w:color w:val="auto"/>
          <w:sz w:val="26"/>
          <w:szCs w:val="26"/>
        </w:rPr>
      </w:pPr>
      <w:r>
        <w:rPr>
          <w:rFonts w:ascii="Times New Roman" w:hAnsi="Times New Roman"/>
          <w:b/>
          <w:color w:val="auto"/>
          <w:sz w:val="26"/>
          <w:szCs w:val="26"/>
        </w:rPr>
        <w:t xml:space="preserve">• Đồng bộ hóa 7 Notebooks: </w:t>
      </w:r>
      <w:r>
        <w:rPr>
          <w:rFonts w:ascii="Times New Roman" w:hAnsi="Times New Roman"/>
          <w:i w:val="0"/>
          <w:color w:val="auto"/>
          <w:sz w:val="26"/>
          <w:szCs w:val="26"/>
        </w:rPr>
        <w:t>Đồng bộ hóa toàn bộ 7 Jupyter Notebooks (từ 00_environment... đến 06_model_evaluation.ipynb) tích hợp hàm setup_notebook_figures() xuất đồng thời biểu đồ PNG độ phân giải 300 DPI và vector SVG vào bundle, bảo đảm 100% tuân thủ chuẩn nbformat v4.</w:t>
      </w:r>
    </w:p>
    <w:p w14:paraId="34F69E31">
      <w:pPr>
        <w:spacing w:before="0" w:after="80" w:line="276" w:lineRule="auto"/>
        <w:jc w:val="left"/>
        <w:rPr>
          <w:color w:val="auto"/>
          <w:sz w:val="26"/>
          <w:szCs w:val="26"/>
        </w:rPr>
      </w:pPr>
      <w:r>
        <w:rPr>
          <w:rFonts w:ascii="Times New Roman" w:hAnsi="Times New Roman"/>
          <w:b/>
          <w:color w:val="auto"/>
          <w:sz w:val="26"/>
          <w:szCs w:val="26"/>
        </w:rPr>
        <w:t xml:space="preserve">• Tài liệu hóa kiểm toán: </w:t>
      </w:r>
      <w:r>
        <w:rPr>
          <w:rFonts w:ascii="Times New Roman" w:hAnsi="Times New Roman"/>
          <w:i w:val="0"/>
          <w:color w:val="auto"/>
          <w:sz w:val="26"/>
          <w:szCs w:val="26"/>
        </w:rPr>
        <w:t>Hoàn thiện hai báo cáo kiểm toán khoa học toàn diện tại docs/reproducibility/OUTPUTS_AND_PAPER_READINESS_AUDIT.md và OUTPUTS_AND_PAPER_READINESS_REPORT.md.</w:t>
      </w:r>
    </w:p>
    <w:p w14:paraId="4583885E">
      <w:pPr>
        <w:keepNext/>
        <w:spacing w:before="180" w:after="80"/>
        <w:rPr>
          <w:color w:val="auto"/>
          <w:sz w:val="26"/>
          <w:szCs w:val="26"/>
        </w:rPr>
      </w:pPr>
      <w:r>
        <w:rPr>
          <w:rFonts w:ascii="Times New Roman" w:hAnsi="Times New Roman"/>
          <w:b/>
          <w:color w:val="auto"/>
          <w:sz w:val="26"/>
          <w:szCs w:val="26"/>
        </w:rPr>
        <w:t>2.3. Triển khai nhánh nghiên cứu Bài toán 2: Giải thích XAI và Khung Hybrid Centrality (Bước 7–9)</w:t>
      </w:r>
    </w:p>
    <w:p w14:paraId="148A9F28">
      <w:pPr>
        <w:spacing w:before="0" w:after="80" w:line="276" w:lineRule="auto"/>
        <w:jc w:val="left"/>
        <w:rPr>
          <w:color w:val="auto"/>
          <w:sz w:val="26"/>
          <w:szCs w:val="26"/>
        </w:rPr>
      </w:pPr>
      <w:r>
        <w:rPr>
          <w:rFonts w:ascii="Times New Roman" w:hAnsi="Times New Roman"/>
          <w:i w:val="0"/>
          <w:color w:val="auto"/>
          <w:sz w:val="26"/>
          <w:szCs w:val="26"/>
        </w:rPr>
        <w:t>Song song với công tác kiểm toán Bài toán 1, nhóm đã chính thức bước vào triển khai các cấu phần của Bài toán 2:</w:t>
      </w:r>
    </w:p>
    <w:p w14:paraId="672A01A1">
      <w:pPr>
        <w:spacing w:before="0" w:after="80" w:line="276" w:lineRule="auto"/>
        <w:jc w:val="left"/>
        <w:rPr>
          <w:color w:val="auto"/>
          <w:sz w:val="26"/>
          <w:szCs w:val="26"/>
        </w:rPr>
      </w:pPr>
      <w:r>
        <w:rPr>
          <w:rFonts w:ascii="Times New Roman" w:hAnsi="Times New Roman"/>
          <w:b/>
          <w:color w:val="auto"/>
          <w:sz w:val="26"/>
          <w:szCs w:val="26"/>
        </w:rPr>
        <w:t xml:space="preserve">• Tích hợp GNNExplainer và PGExplainer: </w:t>
      </w:r>
      <w:r>
        <w:rPr>
          <w:rFonts w:ascii="Times New Roman" w:hAnsi="Times New Roman"/>
          <w:i w:val="0"/>
          <w:color w:val="auto"/>
          <w:sz w:val="26"/>
          <w:szCs w:val="26"/>
        </w:rPr>
        <w:t>Cài đặt và tích hợp thành công hai giải thuật XAI đồ thị cốt lõi trong src/xai_football/xai/: (1) GNNExplainer: Tối ưu hóa mặt nạ liên kết và thuộc tính đỉnh trên từng pha bóng cụ thể (instance-level); (2) PGExplainer: Mạng nơ-ron tham số hóa học mẫu hình giải thích chung có khả năng quy nạp (inductive).</w:t>
      </w:r>
    </w:p>
    <w:p w14:paraId="590D6EB7">
      <w:pPr>
        <w:spacing w:before="0" w:after="80" w:line="276" w:lineRule="auto"/>
        <w:jc w:val="left"/>
        <w:rPr>
          <w:color w:val="auto"/>
          <w:sz w:val="26"/>
          <w:szCs w:val="26"/>
        </w:rPr>
      </w:pPr>
      <w:r>
        <w:rPr>
          <w:rFonts w:ascii="Times New Roman" w:hAnsi="Times New Roman"/>
          <w:b/>
          <w:color w:val="auto"/>
          <w:sz w:val="26"/>
          <w:szCs w:val="26"/>
        </w:rPr>
        <w:t xml:space="preserve">• Thử nghiệm Pilot và Đo lường chất lượng XAI: </w:t>
      </w:r>
      <w:r>
        <w:rPr>
          <w:rFonts w:ascii="Times New Roman" w:hAnsi="Times New Roman"/>
          <w:i w:val="0"/>
          <w:color w:val="auto"/>
          <w:sz w:val="26"/>
          <w:szCs w:val="26"/>
        </w:rPr>
        <w:t>Thực hiện thử nghiệm giải thích trên tập pilot 5 trận đấu kiểm tra, tính toán bộ độ đo định lượng chuẩn hóa gồm Fidelity+ (mức sụt giảm xác suất khi xóa subgraph quan trọng), Fidelity- (mức duy trì xác suất khi chỉ giữ lại subgraph quan trọng) và Sparsity (độ tinh gọn của giải thích).</w:t>
      </w:r>
    </w:p>
    <w:p w14:paraId="5CC4B6DB">
      <w:pPr>
        <w:spacing w:before="0" w:after="80" w:line="276" w:lineRule="auto"/>
        <w:jc w:val="left"/>
        <w:rPr>
          <w:color w:val="auto"/>
          <w:sz w:val="26"/>
          <w:szCs w:val="26"/>
        </w:rPr>
      </w:pPr>
      <w:r>
        <w:rPr>
          <w:rFonts w:ascii="Times New Roman" w:hAnsi="Times New Roman"/>
          <w:b/>
          <w:color w:val="auto"/>
          <w:sz w:val="26"/>
          <w:szCs w:val="26"/>
        </w:rPr>
        <w:t xml:space="preserve">• Xây dựng khung tính toán Hybrid Centrality: </w:t>
      </w:r>
      <w:r>
        <w:rPr>
          <w:rFonts w:ascii="Times New Roman" w:hAnsi="Times New Roman"/>
          <w:i w:val="0"/>
          <w:color w:val="auto"/>
          <w:sz w:val="26"/>
          <w:szCs w:val="26"/>
        </w:rPr>
        <w:t>Thiết kế thuật toán xây dựng đồ thị mạng chuyền bóng tổng hợp (aggregate passing network) của từng đội bóng trong suốt mùa giải; thiết lập công thức thử nghiệm kết hợp có trọng số giữa centrality topo truyền thống (Degree, Betweenness, Closeness, PageRank) và điểm số XAI-importance trích xuất từ các pha bóng nguy hiểm.</w:t>
      </w:r>
    </w:p>
    <w:p w14:paraId="532CE553">
      <w:pPr>
        <w:keepNext/>
        <w:spacing w:before="180" w:after="80"/>
        <w:rPr>
          <w:color w:val="auto"/>
          <w:sz w:val="26"/>
          <w:szCs w:val="26"/>
        </w:rPr>
      </w:pPr>
      <w:r>
        <w:rPr>
          <w:rFonts w:ascii="Times New Roman" w:hAnsi="Times New Roman"/>
          <w:b/>
          <w:color w:val="auto"/>
          <w:sz w:val="26"/>
          <w:szCs w:val="26"/>
        </w:rPr>
        <w:t>2.4. Đảm bảo chất lượng mã nguồn và Kiểm thử hệ thống</w:t>
      </w:r>
    </w:p>
    <w:p w14:paraId="5D220106">
      <w:pPr>
        <w:spacing w:before="0" w:after="80" w:line="276" w:lineRule="auto"/>
        <w:jc w:val="left"/>
        <w:rPr>
          <w:color w:val="auto"/>
          <w:sz w:val="26"/>
          <w:szCs w:val="26"/>
        </w:rPr>
      </w:pPr>
      <w:r>
        <w:rPr>
          <w:rFonts w:ascii="Times New Roman" w:hAnsi="Times New Roman"/>
          <w:i w:val="0"/>
          <w:color w:val="auto"/>
          <w:sz w:val="26"/>
          <w:szCs w:val="26"/>
        </w:rPr>
        <w:t>Toàn bộ hệ thống mã nguồn trên branch Clean đã vượt qua các tiêu chuẩn kiểm thử khắt khe:</w:t>
      </w:r>
    </w:p>
    <w:p w14:paraId="24CAB1E7">
      <w:pPr>
        <w:spacing w:before="0" w:after="80" w:line="276" w:lineRule="auto"/>
        <w:jc w:val="left"/>
        <w:rPr>
          <w:color w:val="auto"/>
          <w:sz w:val="26"/>
          <w:szCs w:val="26"/>
        </w:rPr>
      </w:pPr>
      <w:r>
        <w:rPr>
          <w:rFonts w:ascii="Times New Roman" w:hAnsi="Times New Roman"/>
          <w:b/>
          <w:color w:val="auto"/>
          <w:sz w:val="26"/>
          <w:szCs w:val="26"/>
        </w:rPr>
        <w:t xml:space="preserve">• Pytest Test Suite: </w:t>
      </w:r>
      <w:r>
        <w:rPr>
          <w:rFonts w:ascii="Times New Roman" w:hAnsi="Times New Roman"/>
          <w:i w:val="0"/>
          <w:color w:val="auto"/>
          <w:sz w:val="26"/>
          <w:szCs w:val="26"/>
        </w:rPr>
        <w:t>Bộ kiểm thử tự động gồm 165 bài test (tăng từ 52 bài của tuần trước, bổ sung 8 tests cho output bundle, 2 tests cho pipeline runner, 16 tests cho XAI explainers &amp; metrics, 21 tests cho định dạng notebooks) đạt tỉ lệ PASS 100% trong 54,83 giây.</w:t>
      </w:r>
    </w:p>
    <w:p w14:paraId="2E1107C9">
      <w:pPr>
        <w:spacing w:before="0" w:after="80" w:line="276" w:lineRule="auto"/>
        <w:jc w:val="left"/>
        <w:rPr>
          <w:color w:val="auto"/>
          <w:sz w:val="26"/>
          <w:szCs w:val="26"/>
        </w:rPr>
      </w:pPr>
      <w:r>
        <w:rPr>
          <w:rFonts w:ascii="Times New Roman" w:hAnsi="Times New Roman"/>
          <w:b/>
          <w:color w:val="auto"/>
          <w:sz w:val="26"/>
          <w:szCs w:val="26"/>
        </w:rPr>
        <w:t xml:space="preserve">• Ruff Linter &amp; Black Formatter: </w:t>
      </w:r>
      <w:r>
        <w:rPr>
          <w:rFonts w:ascii="Times New Roman" w:hAnsi="Times New Roman"/>
          <w:i w:val="0"/>
          <w:color w:val="auto"/>
          <w:sz w:val="26"/>
          <w:szCs w:val="26"/>
        </w:rPr>
        <w:t>Mã nguồn sạch hoàn toàn, không có lỗi định dạng hay vi phạm quy ước PEP 8.</w:t>
      </w:r>
    </w:p>
    <w:p w14:paraId="45FA32AB">
      <w:pPr>
        <w:spacing w:before="0" w:after="80" w:line="276" w:lineRule="auto"/>
        <w:jc w:val="left"/>
        <w:rPr>
          <w:color w:val="auto"/>
          <w:sz w:val="26"/>
          <w:szCs w:val="26"/>
        </w:rPr>
      </w:pPr>
      <w:r>
        <w:rPr>
          <w:rFonts w:ascii="Times New Roman" w:hAnsi="Times New Roman"/>
          <w:b/>
          <w:color w:val="auto"/>
          <w:sz w:val="26"/>
          <w:szCs w:val="26"/>
        </w:rPr>
        <w:t xml:space="preserve">• GitHub Actions CI: </w:t>
      </w:r>
      <w:r>
        <w:rPr>
          <w:rFonts w:ascii="Times New Roman" w:hAnsi="Times New Roman"/>
          <w:i w:val="0"/>
          <w:color w:val="auto"/>
          <w:sz w:val="26"/>
          <w:szCs w:val="26"/>
        </w:rPr>
        <w:t>Cập nhật tệp .github/workflows/ci.yml bổ sung nhánh Clean vào quy trình kiểm thử tự động trên nền tảng GitHub Actions.</w:t>
      </w:r>
    </w:p>
    <w:p w14:paraId="23C6DE7C">
      <w:pPr>
        <w:keepNext/>
        <w:spacing w:before="240" w:after="120"/>
        <w:rPr>
          <w:color w:val="auto"/>
          <w:sz w:val="26"/>
          <w:szCs w:val="26"/>
        </w:rPr>
      </w:pPr>
      <w:r>
        <w:rPr>
          <w:rFonts w:ascii="Times New Roman" w:hAnsi="Times New Roman"/>
          <w:b/>
          <w:color w:val="auto"/>
          <w:sz w:val="26"/>
          <w:szCs w:val="26"/>
        </w:rPr>
        <w:t>3. Kế hoạch triển khai tuần tiếp theo (24/10/2026 – 31/10/2026)</w:t>
      </w:r>
    </w:p>
    <w:p w14:paraId="114CF3E6">
      <w:pPr>
        <w:spacing w:before="0" w:after="80" w:line="276" w:lineRule="auto"/>
        <w:jc w:val="left"/>
        <w:rPr>
          <w:color w:val="auto"/>
          <w:sz w:val="26"/>
          <w:szCs w:val="26"/>
        </w:rPr>
      </w:pPr>
      <w:r>
        <w:rPr>
          <w:rFonts w:ascii="Times New Roman" w:hAnsi="Times New Roman"/>
          <w:i w:val="0"/>
          <w:color w:val="auto"/>
          <w:sz w:val="26"/>
          <w:szCs w:val="26"/>
        </w:rPr>
        <w:t>Trong tuần làm việc tiếp theo, nhóm sẽ dồn toàn lực hoàn tất Bài toán 2 và chuyển giao sang giai đoạn viết bản thảo hoàn chỉnh:</w:t>
      </w:r>
    </w:p>
    <w:p w14:paraId="15357337">
      <w:pPr>
        <w:spacing w:before="0" w:after="80" w:line="276" w:lineRule="auto"/>
        <w:jc w:val="left"/>
        <w:rPr>
          <w:color w:val="auto"/>
          <w:sz w:val="26"/>
          <w:szCs w:val="26"/>
        </w:rPr>
      </w:pPr>
      <w:r>
        <w:rPr>
          <w:rFonts w:ascii="Times New Roman" w:hAnsi="Times New Roman"/>
          <w:b/>
          <w:color w:val="auto"/>
          <w:sz w:val="26"/>
          <w:szCs w:val="26"/>
        </w:rPr>
        <w:t xml:space="preserve">1. Mở rộng thực nghiệm XAI trên toàn bộ tập Test (Bước 7–8): </w:t>
      </w:r>
      <w:r>
        <w:rPr>
          <w:rFonts w:ascii="Times New Roman" w:hAnsi="Times New Roman"/>
          <w:i w:val="0"/>
          <w:color w:val="auto"/>
          <w:sz w:val="26"/>
          <w:szCs w:val="26"/>
        </w:rPr>
        <w:t>Sau khi hoàn thành thử nghiệm trên tập pilot 5 trận, nhóm sẽ chạy mở rộng giải thích XAI trên toàn bộ 6.646 đồ thị của 57 trận đấu test. Tính toán trung bình Fidelity+, Fidelity-, Sparsity trên quy mô lớn để đưa vào bảng số liệu chính thức của bài báo.</w:t>
      </w:r>
    </w:p>
    <w:p w14:paraId="38D09596">
      <w:pPr>
        <w:spacing w:before="0" w:after="80" w:line="276" w:lineRule="auto"/>
        <w:jc w:val="left"/>
        <w:rPr>
          <w:color w:val="auto"/>
          <w:sz w:val="26"/>
          <w:szCs w:val="26"/>
        </w:rPr>
      </w:pPr>
      <w:r>
        <w:rPr>
          <w:rFonts w:ascii="Times New Roman" w:hAnsi="Times New Roman"/>
          <w:b/>
          <w:color w:val="auto"/>
          <w:sz w:val="26"/>
          <w:szCs w:val="26"/>
        </w:rPr>
        <w:t xml:space="preserve">2. Hoàn thiện đánh giá và Phân tích chiến thuật Hybrid Centrality (Bước 9): </w:t>
      </w:r>
      <w:r>
        <w:rPr>
          <w:rFonts w:ascii="Times New Roman" w:hAnsi="Times New Roman"/>
          <w:i w:val="0"/>
          <w:color w:val="auto"/>
          <w:sz w:val="26"/>
          <w:szCs w:val="26"/>
        </w:rPr>
        <w:t>Chạy tính toán chỉ số Hybrid Centrality cho toàn bộ 20 câu lạc bộ Ngoại hạng Anh; đối sánh trực tiếp thứ hạng cầu thủ theo Hybrid Centrality so với Centrality truyền thống để kiểm chứng câu hỏi nghiên cứu: 'Liệu XAI có làm nổi bật các tiền vệ kiến thiết lùi sâu (deep-lying playmakers) mà chỉ số truyền thống bỏ sót hay không?'.</w:t>
      </w:r>
    </w:p>
    <w:p w14:paraId="32A5BDA5">
      <w:pPr>
        <w:spacing w:before="0" w:after="80" w:line="276" w:lineRule="auto"/>
        <w:jc w:val="left"/>
        <w:rPr>
          <w:color w:val="auto"/>
          <w:sz w:val="26"/>
          <w:szCs w:val="26"/>
        </w:rPr>
      </w:pPr>
      <w:r>
        <w:rPr>
          <w:rFonts w:ascii="Times New Roman" w:hAnsi="Times New Roman"/>
          <w:b/>
          <w:color w:val="auto"/>
          <w:sz w:val="26"/>
          <w:szCs w:val="26"/>
        </w:rPr>
        <w:t xml:space="preserve">3. Trực quan hóa chuyên sâu phục vụ luận văn: </w:t>
      </w:r>
      <w:r>
        <w:rPr>
          <w:rFonts w:ascii="Times New Roman" w:hAnsi="Times New Roman"/>
          <w:i w:val="0"/>
          <w:color w:val="auto"/>
          <w:sz w:val="26"/>
          <w:szCs w:val="26"/>
        </w:rPr>
        <w:t>Trực quan hóa đồ thị giải thích mẫu trên sân bóng 2D và biểu đồ phân bổ Hybrid Centrality của các đội bóng tiêu biểu (Arsenal, Leicester City, Tottenham...).</w:t>
      </w:r>
    </w:p>
    <w:p w14:paraId="3D03B144">
      <w:pPr>
        <w:spacing w:before="0" w:after="80" w:line="276" w:lineRule="auto"/>
        <w:jc w:val="left"/>
        <w:rPr>
          <w:color w:val="auto"/>
          <w:sz w:val="26"/>
          <w:szCs w:val="26"/>
        </w:rPr>
      </w:pPr>
      <w:r>
        <w:rPr>
          <w:rFonts w:ascii="Times New Roman" w:hAnsi="Times New Roman"/>
          <w:b/>
          <w:color w:val="auto"/>
          <w:sz w:val="26"/>
          <w:szCs w:val="26"/>
        </w:rPr>
        <w:t xml:space="preserve">4. Soạn thảo bản thảo đồ án tốt nghiệp: </w:t>
      </w:r>
      <w:r>
        <w:rPr>
          <w:rFonts w:ascii="Times New Roman" w:hAnsi="Times New Roman"/>
          <w:i w:val="0"/>
          <w:color w:val="auto"/>
          <w:sz w:val="26"/>
          <w:szCs w:val="26"/>
        </w:rPr>
        <w:t>Hoàn thiện bản thảo Chương 4 (Thực nghiệm &amp; Đối sánh Dự đoán) và Chương 5 (Giải thích XAI &amp; Đánh giá Chiến thuật) dựa trên toàn bộ cây minh chứng đã đóng gói tại outputs/.</w:t>
      </w:r>
    </w:p>
    <w:p w14:paraId="0130F3B0">
      <w:pPr>
        <w:keepNext/>
        <w:spacing w:before="240" w:after="120"/>
        <w:rPr>
          <w:color w:val="auto"/>
          <w:sz w:val="26"/>
          <w:szCs w:val="26"/>
        </w:rPr>
      </w:pPr>
      <w:r>
        <w:rPr>
          <w:rFonts w:ascii="Times New Roman" w:hAnsi="Times New Roman"/>
          <w:b/>
          <w:color w:val="auto"/>
          <w:sz w:val="26"/>
          <w:szCs w:val="26"/>
        </w:rPr>
        <w:t>4. Tổng kết tiến độ công việc (Tuần 12/10 – 23/10/2026)</w:t>
      </w:r>
    </w:p>
    <w:tbl>
      <w:tblPr>
        <w:tblStyle w:val="12"/>
        <w:tblW w:w="0" w:type="auto"/>
        <w:jc w:val="center"/>
        <w:tblLayout w:type="fixed"/>
        <w:tblCellMar>
          <w:top w:w="0" w:type="dxa"/>
          <w:left w:w="108" w:type="dxa"/>
          <w:bottom w:w="0" w:type="dxa"/>
          <w:right w:w="108" w:type="dxa"/>
        </w:tblCellMar>
      </w:tblPr>
      <w:tblGrid>
        <w:gridCol w:w="2437"/>
        <w:gridCol w:w="2437"/>
        <w:gridCol w:w="2437"/>
        <w:gridCol w:w="2437"/>
      </w:tblGrid>
      <w:tr w14:paraId="3F278D43">
        <w:tblPrEx>
          <w:tblCellMar>
            <w:top w:w="0" w:type="dxa"/>
            <w:left w:w="108" w:type="dxa"/>
            <w:bottom w:w="0" w:type="dxa"/>
            <w:right w:w="108" w:type="dxa"/>
          </w:tblCellMar>
        </w:tblPrEx>
        <w:trPr>
          <w:tblHeader/>
          <w:jc w:val="center"/>
        </w:trPr>
        <w:tc>
          <w:tcPr>
            <w:tcW w:w="2160"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5CD91DCE">
            <w:pPr>
              <w:spacing w:before="40" w:after="40"/>
              <w:jc w:val="center"/>
              <w:rPr>
                <w:color w:val="auto"/>
                <w:sz w:val="26"/>
                <w:szCs w:val="26"/>
              </w:rPr>
            </w:pPr>
            <w:r>
              <w:rPr>
                <w:rFonts w:ascii="Times New Roman" w:hAnsi="Times New Roman"/>
                <w:b/>
                <w:color w:val="auto"/>
                <w:sz w:val="26"/>
                <w:szCs w:val="26"/>
              </w:rPr>
              <w:t>Hạng mục công việc</w:t>
            </w:r>
          </w:p>
        </w:tc>
        <w:tc>
          <w:tcPr>
            <w:tcW w:w="2592"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7AC242B7">
            <w:pPr>
              <w:spacing w:before="40" w:after="40"/>
              <w:jc w:val="center"/>
              <w:rPr>
                <w:color w:val="auto"/>
                <w:sz w:val="26"/>
                <w:szCs w:val="26"/>
              </w:rPr>
            </w:pPr>
            <w:r>
              <w:rPr>
                <w:rFonts w:ascii="Times New Roman" w:hAnsi="Times New Roman"/>
                <w:b/>
                <w:color w:val="auto"/>
                <w:sz w:val="26"/>
                <w:szCs w:val="26"/>
              </w:rPr>
              <w:t>Kế hoạch đề ra</w:t>
            </w:r>
          </w:p>
        </w:tc>
        <w:tc>
          <w:tcPr>
            <w:tcW w:w="3600"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4A8DBE20">
            <w:pPr>
              <w:spacing w:before="40" w:after="40"/>
              <w:jc w:val="center"/>
              <w:rPr>
                <w:color w:val="auto"/>
                <w:sz w:val="26"/>
                <w:szCs w:val="26"/>
              </w:rPr>
            </w:pPr>
            <w:r>
              <w:rPr>
                <w:rFonts w:ascii="Times New Roman" w:hAnsi="Times New Roman"/>
                <w:b/>
                <w:color w:val="auto"/>
                <w:sz w:val="26"/>
                <w:szCs w:val="26"/>
              </w:rPr>
              <w:t>Kết quả thực tế đạt được</w:t>
            </w:r>
          </w:p>
        </w:tc>
        <w:tc>
          <w:tcPr>
            <w:tcW w:w="1440" w:type="dxa"/>
            <w:tcBorders>
              <w:top w:val="single" w:color="B0C4DE" w:sz="8" w:space="0"/>
              <w:left w:val="single" w:color="E0E0E0" w:sz="4" w:space="0"/>
              <w:bottom w:val="single" w:color="1B365D" w:sz="12" w:space="0"/>
              <w:right w:val="single" w:color="E0E0E0" w:sz="4" w:space="0"/>
            </w:tcBorders>
            <w:shd w:val="clear" w:color="auto" w:fill="F2F4F8"/>
            <w:tcMar>
              <w:top w:w="140" w:type="dxa"/>
              <w:left w:w="140" w:type="dxa"/>
              <w:bottom w:w="140" w:type="dxa"/>
              <w:right w:w="140" w:type="dxa"/>
            </w:tcMar>
          </w:tcPr>
          <w:p w14:paraId="7C7626F0">
            <w:pPr>
              <w:spacing w:before="40" w:after="40"/>
              <w:jc w:val="center"/>
              <w:rPr>
                <w:color w:val="auto"/>
                <w:sz w:val="26"/>
                <w:szCs w:val="26"/>
              </w:rPr>
            </w:pPr>
            <w:r>
              <w:rPr>
                <w:rFonts w:ascii="Times New Roman" w:hAnsi="Times New Roman"/>
                <w:b/>
                <w:color w:val="auto"/>
                <w:sz w:val="26"/>
                <w:szCs w:val="26"/>
              </w:rPr>
              <w:t>Trạng thái</w:t>
            </w:r>
          </w:p>
        </w:tc>
      </w:tr>
      <w:tr w14:paraId="39A610DF">
        <w:tblPrEx>
          <w:tblCellMar>
            <w:top w:w="0" w:type="dxa"/>
            <w:left w:w="108" w:type="dxa"/>
            <w:bottom w:w="0" w:type="dxa"/>
            <w:right w:w="108" w:type="dxa"/>
          </w:tblCellMar>
        </w:tblPrEx>
        <w:trPr>
          <w:jc w:val="center"/>
        </w:trPr>
        <w:tc>
          <w:tcPr>
            <w:tcW w:w="2160"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7464BE88">
            <w:pPr>
              <w:spacing w:before="20" w:after="20"/>
              <w:jc w:val="center"/>
              <w:rPr>
                <w:color w:val="auto"/>
                <w:sz w:val="26"/>
                <w:szCs w:val="26"/>
              </w:rPr>
            </w:pPr>
            <w:r>
              <w:rPr>
                <w:rFonts w:ascii="Times New Roman" w:hAnsi="Times New Roman"/>
                <w:color w:val="auto"/>
                <w:sz w:val="26"/>
                <w:szCs w:val="26"/>
              </w:rPr>
              <w:t>Phản hồi nhận xét GV</w:t>
            </w:r>
          </w:p>
        </w:tc>
        <w:tc>
          <w:tcPr>
            <w:tcW w:w="259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75B7C3E1">
            <w:pPr>
              <w:spacing w:before="20" w:after="20"/>
              <w:jc w:val="center"/>
              <w:rPr>
                <w:color w:val="auto"/>
                <w:sz w:val="26"/>
                <w:szCs w:val="26"/>
              </w:rPr>
            </w:pPr>
            <w:r>
              <w:rPr>
                <w:rFonts w:ascii="Times New Roman" w:hAnsi="Times New Roman"/>
                <w:color w:val="auto"/>
                <w:sz w:val="26"/>
                <w:szCs w:val="26"/>
              </w:rPr>
              <w:t>Giải trình nguyên nhân phi đồ thị cao hơn</w:t>
            </w:r>
          </w:p>
        </w:tc>
        <w:tc>
          <w:tcPr>
            <w:tcW w:w="3600"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078388E4">
            <w:pPr>
              <w:spacing w:before="20" w:after="20"/>
              <w:jc w:val="center"/>
              <w:rPr>
                <w:color w:val="auto"/>
                <w:sz w:val="26"/>
                <w:szCs w:val="26"/>
              </w:rPr>
            </w:pPr>
            <w:r>
              <w:rPr>
                <w:rFonts w:ascii="Times New Roman" w:hAnsi="Times New Roman"/>
                <w:color w:val="auto"/>
                <w:sz w:val="26"/>
                <w:szCs w:val="26"/>
              </w:rPr>
              <w:t>Hoàn thành phân tích lý thuyết và đính chính số liệu 10 đặc trưng</w:t>
            </w:r>
          </w:p>
        </w:tc>
        <w:tc>
          <w:tcPr>
            <w:tcW w:w="1440"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17119B37">
            <w:pPr>
              <w:spacing w:before="20" w:after="20"/>
              <w:jc w:val="center"/>
              <w:rPr>
                <w:color w:val="auto"/>
                <w:sz w:val="26"/>
                <w:szCs w:val="26"/>
              </w:rPr>
            </w:pPr>
            <w:r>
              <w:rPr>
                <w:rFonts w:ascii="Times New Roman" w:hAnsi="Times New Roman"/>
                <w:color w:val="auto"/>
                <w:sz w:val="26"/>
                <w:szCs w:val="26"/>
              </w:rPr>
              <w:t>Hoàn thành (100%)</w:t>
            </w:r>
          </w:p>
        </w:tc>
      </w:tr>
      <w:tr w14:paraId="3A8F2BF4">
        <w:tblPrEx>
          <w:tblCellMar>
            <w:top w:w="0" w:type="dxa"/>
            <w:left w:w="108" w:type="dxa"/>
            <w:bottom w:w="0" w:type="dxa"/>
            <w:right w:w="108" w:type="dxa"/>
          </w:tblCellMar>
        </w:tblPrEx>
        <w:trPr>
          <w:jc w:val="center"/>
        </w:trPr>
        <w:tc>
          <w:tcPr>
            <w:tcW w:w="2160"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0E7BD2B0">
            <w:pPr>
              <w:spacing w:before="20" w:after="20"/>
              <w:jc w:val="center"/>
              <w:rPr>
                <w:color w:val="auto"/>
                <w:sz w:val="26"/>
                <w:szCs w:val="26"/>
              </w:rPr>
            </w:pPr>
            <w:r>
              <w:rPr>
                <w:rFonts w:ascii="Times New Roman" w:hAnsi="Times New Roman"/>
                <w:color w:val="auto"/>
                <w:sz w:val="26"/>
                <w:szCs w:val="26"/>
              </w:rPr>
              <w:t>Thí nghiệm Ablation</w:t>
            </w:r>
          </w:p>
        </w:tc>
        <w:tc>
          <w:tcPr>
            <w:tcW w:w="259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43097FC2">
            <w:pPr>
              <w:spacing w:before="20" w:after="20"/>
              <w:jc w:val="center"/>
              <w:rPr>
                <w:color w:val="auto"/>
                <w:sz w:val="26"/>
                <w:szCs w:val="26"/>
              </w:rPr>
            </w:pPr>
            <w:r>
              <w:rPr>
                <w:rFonts w:ascii="Times New Roman" w:hAnsi="Times New Roman"/>
                <w:color w:val="auto"/>
                <w:sz w:val="26"/>
                <w:szCs w:val="26"/>
              </w:rPr>
              <w:t>Bóc tách đóng góp của final_x/y trên 5 seeds</w:t>
            </w:r>
          </w:p>
        </w:tc>
        <w:tc>
          <w:tcPr>
            <w:tcW w:w="3600"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60EABDF1">
            <w:pPr>
              <w:spacing w:before="20" w:after="20"/>
              <w:jc w:val="center"/>
              <w:rPr>
                <w:color w:val="auto"/>
                <w:sz w:val="26"/>
                <w:szCs w:val="26"/>
              </w:rPr>
            </w:pPr>
            <w:r>
              <w:rPr>
                <w:rFonts w:ascii="Times New Roman" w:hAnsi="Times New Roman"/>
                <w:color w:val="auto"/>
                <w:sz w:val="26"/>
                <w:szCs w:val="26"/>
              </w:rPr>
              <w:t>Chứng minh RF giảm từ 0,620 xuống 0,268 khi bỏ điểm cuối</w:t>
            </w:r>
          </w:p>
        </w:tc>
        <w:tc>
          <w:tcPr>
            <w:tcW w:w="1440"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169A0A71">
            <w:pPr>
              <w:spacing w:before="20" w:after="20"/>
              <w:jc w:val="center"/>
              <w:rPr>
                <w:color w:val="auto"/>
                <w:sz w:val="26"/>
                <w:szCs w:val="26"/>
              </w:rPr>
            </w:pPr>
            <w:r>
              <w:rPr>
                <w:rFonts w:ascii="Times New Roman" w:hAnsi="Times New Roman"/>
                <w:color w:val="auto"/>
                <w:sz w:val="26"/>
                <w:szCs w:val="26"/>
              </w:rPr>
              <w:t>Hoàn thành (100%)</w:t>
            </w:r>
          </w:p>
        </w:tc>
      </w:tr>
      <w:tr w14:paraId="358445F3">
        <w:tblPrEx>
          <w:tblCellMar>
            <w:top w:w="0" w:type="dxa"/>
            <w:left w:w="108" w:type="dxa"/>
            <w:bottom w:w="0" w:type="dxa"/>
            <w:right w:w="108" w:type="dxa"/>
          </w:tblCellMar>
        </w:tblPrEx>
        <w:trPr>
          <w:jc w:val="center"/>
        </w:trPr>
        <w:tc>
          <w:tcPr>
            <w:tcW w:w="2160"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594F8AFA">
            <w:pPr>
              <w:spacing w:before="20" w:after="20"/>
              <w:jc w:val="center"/>
              <w:rPr>
                <w:color w:val="auto"/>
                <w:sz w:val="26"/>
                <w:szCs w:val="26"/>
              </w:rPr>
            </w:pPr>
            <w:r>
              <w:rPr>
                <w:rFonts w:ascii="Times New Roman" w:hAnsi="Times New Roman"/>
                <w:color w:val="auto"/>
                <w:sz w:val="26"/>
                <w:szCs w:val="26"/>
              </w:rPr>
              <w:t>Kiểm định thống kê</w:t>
            </w:r>
          </w:p>
        </w:tc>
        <w:tc>
          <w:tcPr>
            <w:tcW w:w="259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1AA606AE">
            <w:pPr>
              <w:spacing w:before="20" w:after="20"/>
              <w:jc w:val="center"/>
              <w:rPr>
                <w:color w:val="auto"/>
                <w:sz w:val="26"/>
                <w:szCs w:val="26"/>
              </w:rPr>
            </w:pPr>
            <w:r>
              <w:rPr>
                <w:rFonts w:ascii="Times New Roman" w:hAnsi="Times New Roman"/>
                <w:color w:val="auto"/>
                <w:sz w:val="26"/>
                <w:szCs w:val="26"/>
              </w:rPr>
              <w:t>Chạy 5 seeds và tính khoảng tin cậy</w:t>
            </w:r>
          </w:p>
        </w:tc>
        <w:tc>
          <w:tcPr>
            <w:tcW w:w="3600"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3A64ABBC">
            <w:pPr>
              <w:spacing w:before="20" w:after="20"/>
              <w:jc w:val="center"/>
              <w:rPr>
                <w:color w:val="auto"/>
                <w:sz w:val="26"/>
                <w:szCs w:val="26"/>
              </w:rPr>
            </w:pPr>
            <w:r>
              <w:rPr>
                <w:rFonts w:ascii="Times New Roman" w:hAnsi="Times New Roman"/>
                <w:color w:val="auto"/>
                <w:sz w:val="26"/>
                <w:szCs w:val="26"/>
              </w:rPr>
              <w:t>Hoàn thành Paired Bootstrap 10k vòng + Holm correction</w:t>
            </w:r>
          </w:p>
        </w:tc>
        <w:tc>
          <w:tcPr>
            <w:tcW w:w="1440"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6AD572AF">
            <w:pPr>
              <w:spacing w:before="20" w:after="20"/>
              <w:jc w:val="center"/>
              <w:rPr>
                <w:color w:val="auto"/>
                <w:sz w:val="26"/>
                <w:szCs w:val="26"/>
              </w:rPr>
            </w:pPr>
            <w:r>
              <w:rPr>
                <w:rFonts w:ascii="Times New Roman" w:hAnsi="Times New Roman"/>
                <w:color w:val="auto"/>
                <w:sz w:val="26"/>
                <w:szCs w:val="26"/>
              </w:rPr>
              <w:t>Hoàn thành (100%)</w:t>
            </w:r>
          </w:p>
        </w:tc>
      </w:tr>
      <w:tr w14:paraId="3DC5EF34">
        <w:tblPrEx>
          <w:tblCellMar>
            <w:top w:w="0" w:type="dxa"/>
            <w:left w:w="108" w:type="dxa"/>
            <w:bottom w:w="0" w:type="dxa"/>
            <w:right w:w="108" w:type="dxa"/>
          </w:tblCellMar>
        </w:tblPrEx>
        <w:trPr>
          <w:jc w:val="center"/>
        </w:trPr>
        <w:tc>
          <w:tcPr>
            <w:tcW w:w="2160"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019FF457">
            <w:pPr>
              <w:spacing w:before="20" w:after="20"/>
              <w:jc w:val="center"/>
              <w:rPr>
                <w:color w:val="auto"/>
                <w:sz w:val="26"/>
                <w:szCs w:val="26"/>
              </w:rPr>
            </w:pPr>
            <w:r>
              <w:rPr>
                <w:rFonts w:ascii="Times New Roman" w:hAnsi="Times New Roman"/>
                <w:color w:val="auto"/>
                <w:sz w:val="26"/>
                <w:szCs w:val="26"/>
              </w:rPr>
              <w:t>Kiểm toán minh chứng</w:t>
            </w:r>
          </w:p>
        </w:tc>
        <w:tc>
          <w:tcPr>
            <w:tcW w:w="259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0A3A0FE9">
            <w:pPr>
              <w:spacing w:before="20" w:after="20"/>
              <w:jc w:val="center"/>
              <w:rPr>
                <w:color w:val="auto"/>
                <w:sz w:val="26"/>
                <w:szCs w:val="26"/>
              </w:rPr>
            </w:pPr>
            <w:r>
              <w:rPr>
                <w:rFonts w:ascii="Times New Roman" w:hAnsi="Times New Roman"/>
                <w:color w:val="auto"/>
                <w:sz w:val="26"/>
                <w:szCs w:val="26"/>
              </w:rPr>
              <w:t>Thiết lập outputs/ bundle chuẩn hóa</w:t>
            </w:r>
          </w:p>
        </w:tc>
        <w:tc>
          <w:tcPr>
            <w:tcW w:w="3600"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23C4ABB7">
            <w:pPr>
              <w:spacing w:before="20" w:after="20"/>
              <w:jc w:val="center"/>
              <w:rPr>
                <w:color w:val="auto"/>
                <w:sz w:val="26"/>
                <w:szCs w:val="26"/>
              </w:rPr>
            </w:pPr>
            <w:r>
              <w:rPr>
                <w:rFonts w:ascii="Times New Roman" w:hAnsi="Times New Roman"/>
                <w:color w:val="auto"/>
                <w:sz w:val="26"/>
                <w:szCs w:val="26"/>
              </w:rPr>
              <w:t>Hoàn thiện output_bundle.py, CLI runner, pointer files</w:t>
            </w:r>
          </w:p>
        </w:tc>
        <w:tc>
          <w:tcPr>
            <w:tcW w:w="1440"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49000F10">
            <w:pPr>
              <w:spacing w:before="20" w:after="20"/>
              <w:jc w:val="center"/>
              <w:rPr>
                <w:color w:val="auto"/>
                <w:sz w:val="26"/>
                <w:szCs w:val="26"/>
              </w:rPr>
            </w:pPr>
            <w:r>
              <w:rPr>
                <w:rFonts w:ascii="Times New Roman" w:hAnsi="Times New Roman"/>
                <w:color w:val="auto"/>
                <w:sz w:val="26"/>
                <w:szCs w:val="26"/>
              </w:rPr>
              <w:t>Hoàn thành (100%)</w:t>
            </w:r>
          </w:p>
        </w:tc>
      </w:tr>
      <w:tr w14:paraId="1393F5A1">
        <w:tblPrEx>
          <w:tblCellMar>
            <w:top w:w="0" w:type="dxa"/>
            <w:left w:w="108" w:type="dxa"/>
            <w:bottom w:w="0" w:type="dxa"/>
            <w:right w:w="108" w:type="dxa"/>
          </w:tblCellMar>
        </w:tblPrEx>
        <w:trPr>
          <w:jc w:val="center"/>
        </w:trPr>
        <w:tc>
          <w:tcPr>
            <w:tcW w:w="2160"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2CDB008C">
            <w:pPr>
              <w:spacing w:before="20" w:after="20"/>
              <w:jc w:val="center"/>
              <w:rPr>
                <w:color w:val="auto"/>
                <w:sz w:val="26"/>
                <w:szCs w:val="26"/>
              </w:rPr>
            </w:pPr>
            <w:r>
              <w:rPr>
                <w:rFonts w:ascii="Times New Roman" w:hAnsi="Times New Roman"/>
                <w:color w:val="auto"/>
                <w:sz w:val="26"/>
                <w:szCs w:val="26"/>
              </w:rPr>
              <w:t>Đồng bộ Notebooks</w:t>
            </w:r>
          </w:p>
        </w:tc>
        <w:tc>
          <w:tcPr>
            <w:tcW w:w="259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7C919440">
            <w:pPr>
              <w:spacing w:before="20" w:after="20"/>
              <w:jc w:val="center"/>
              <w:rPr>
                <w:color w:val="auto"/>
                <w:sz w:val="26"/>
                <w:szCs w:val="26"/>
              </w:rPr>
            </w:pPr>
            <w:r>
              <w:rPr>
                <w:rFonts w:ascii="Times New Roman" w:hAnsi="Times New Roman"/>
                <w:color w:val="auto"/>
                <w:sz w:val="26"/>
                <w:szCs w:val="26"/>
              </w:rPr>
              <w:t>Cập nhật 7 notebooks xuất hình kép</w:t>
            </w:r>
          </w:p>
        </w:tc>
        <w:tc>
          <w:tcPr>
            <w:tcW w:w="3600"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31E8C4B0">
            <w:pPr>
              <w:spacing w:before="20" w:after="20"/>
              <w:jc w:val="center"/>
              <w:rPr>
                <w:color w:val="auto"/>
                <w:sz w:val="26"/>
                <w:szCs w:val="26"/>
              </w:rPr>
            </w:pPr>
            <w:r>
              <w:rPr>
                <w:rFonts w:ascii="Times New Roman" w:hAnsi="Times New Roman"/>
                <w:color w:val="auto"/>
                <w:sz w:val="26"/>
                <w:szCs w:val="26"/>
              </w:rPr>
              <w:t>Cả 7 notebooks đạt chuẩn nbformat v4 và xuất hình vào bundle</w:t>
            </w:r>
          </w:p>
        </w:tc>
        <w:tc>
          <w:tcPr>
            <w:tcW w:w="1440"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6C6B0233">
            <w:pPr>
              <w:spacing w:before="20" w:after="20"/>
              <w:jc w:val="center"/>
              <w:rPr>
                <w:color w:val="auto"/>
                <w:sz w:val="26"/>
                <w:szCs w:val="26"/>
              </w:rPr>
            </w:pPr>
            <w:r>
              <w:rPr>
                <w:rFonts w:ascii="Times New Roman" w:hAnsi="Times New Roman"/>
                <w:color w:val="auto"/>
                <w:sz w:val="26"/>
                <w:szCs w:val="26"/>
              </w:rPr>
              <w:t>Hoàn thành (100%)</w:t>
            </w:r>
          </w:p>
        </w:tc>
      </w:tr>
      <w:tr w14:paraId="7E96B9EF">
        <w:tblPrEx>
          <w:tblCellMar>
            <w:top w:w="0" w:type="dxa"/>
            <w:left w:w="108" w:type="dxa"/>
            <w:bottom w:w="0" w:type="dxa"/>
            <w:right w:w="108" w:type="dxa"/>
          </w:tblCellMar>
        </w:tblPrEx>
        <w:trPr>
          <w:jc w:val="center"/>
        </w:trPr>
        <w:tc>
          <w:tcPr>
            <w:tcW w:w="2160"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082131EB">
            <w:pPr>
              <w:spacing w:before="20" w:after="20"/>
              <w:jc w:val="center"/>
              <w:rPr>
                <w:color w:val="auto"/>
                <w:sz w:val="26"/>
                <w:szCs w:val="26"/>
              </w:rPr>
            </w:pPr>
            <w:r>
              <w:rPr>
                <w:rFonts w:ascii="Times New Roman" w:hAnsi="Times New Roman"/>
                <w:color w:val="auto"/>
                <w:sz w:val="26"/>
                <w:szCs w:val="26"/>
              </w:rPr>
              <w:t>Triển khai XAI (Bước 7–9)</w:t>
            </w:r>
          </w:p>
        </w:tc>
        <w:tc>
          <w:tcPr>
            <w:tcW w:w="2592"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057C0C0C">
            <w:pPr>
              <w:spacing w:before="20" w:after="20"/>
              <w:jc w:val="center"/>
              <w:rPr>
                <w:color w:val="auto"/>
                <w:sz w:val="26"/>
                <w:szCs w:val="26"/>
              </w:rPr>
            </w:pPr>
            <w:r>
              <w:rPr>
                <w:rFonts w:ascii="Times New Roman" w:hAnsi="Times New Roman"/>
                <w:color w:val="auto"/>
                <w:sz w:val="26"/>
                <w:szCs w:val="26"/>
              </w:rPr>
              <w:t>Cài đặt GNNExplainer và PGExplainer</w:t>
            </w:r>
          </w:p>
        </w:tc>
        <w:tc>
          <w:tcPr>
            <w:tcW w:w="3600"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139EDF22">
            <w:pPr>
              <w:spacing w:before="20" w:after="20"/>
              <w:jc w:val="center"/>
              <w:rPr>
                <w:color w:val="auto"/>
                <w:sz w:val="26"/>
                <w:szCs w:val="26"/>
              </w:rPr>
            </w:pPr>
            <w:r>
              <w:rPr>
                <w:rFonts w:ascii="Times New Roman" w:hAnsi="Times New Roman"/>
                <w:color w:val="auto"/>
                <w:sz w:val="26"/>
                <w:szCs w:val="26"/>
              </w:rPr>
              <w:t>Thử nghiệm pilot 5 trận, tính Fidelity, Sparsity, khung Centrality</w:t>
            </w:r>
          </w:p>
        </w:tc>
        <w:tc>
          <w:tcPr>
            <w:tcW w:w="1440" w:type="dxa"/>
            <w:tcBorders>
              <w:top w:val="single" w:color="E5E7EB" w:sz="4" w:space="0"/>
              <w:left w:val="single" w:color="F0F0F0" w:sz="4" w:space="0"/>
              <w:bottom w:val="single" w:color="E5E7EB" w:sz="4" w:space="0"/>
              <w:right w:val="single" w:color="F0F0F0" w:sz="4" w:space="0"/>
            </w:tcBorders>
            <w:shd w:val="clear" w:color="auto" w:fill="F9FAFC"/>
            <w:tcMar>
              <w:top w:w="100" w:type="dxa"/>
              <w:left w:w="120" w:type="dxa"/>
              <w:bottom w:w="100" w:type="dxa"/>
              <w:right w:w="120" w:type="dxa"/>
            </w:tcMar>
          </w:tcPr>
          <w:p w14:paraId="42A73BC0">
            <w:pPr>
              <w:spacing w:before="20" w:after="20"/>
              <w:jc w:val="center"/>
              <w:rPr>
                <w:color w:val="auto"/>
                <w:sz w:val="26"/>
                <w:szCs w:val="26"/>
              </w:rPr>
            </w:pPr>
            <w:r>
              <w:rPr>
                <w:rFonts w:ascii="Times New Roman" w:hAnsi="Times New Roman"/>
                <w:color w:val="auto"/>
                <w:sz w:val="26"/>
                <w:szCs w:val="26"/>
              </w:rPr>
              <w:t>Hoàn thành (100%)</w:t>
            </w:r>
          </w:p>
        </w:tc>
      </w:tr>
      <w:tr w14:paraId="0E8E0389">
        <w:tblPrEx>
          <w:tblCellMar>
            <w:top w:w="0" w:type="dxa"/>
            <w:left w:w="108" w:type="dxa"/>
            <w:bottom w:w="0" w:type="dxa"/>
            <w:right w:w="108" w:type="dxa"/>
          </w:tblCellMar>
        </w:tblPrEx>
        <w:trPr>
          <w:jc w:val="center"/>
        </w:trPr>
        <w:tc>
          <w:tcPr>
            <w:tcW w:w="2160"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1DA93272">
            <w:pPr>
              <w:spacing w:before="20" w:after="20"/>
              <w:jc w:val="center"/>
              <w:rPr>
                <w:color w:val="auto"/>
                <w:sz w:val="26"/>
                <w:szCs w:val="26"/>
              </w:rPr>
            </w:pPr>
            <w:r>
              <w:rPr>
                <w:rFonts w:ascii="Times New Roman" w:hAnsi="Times New Roman"/>
                <w:color w:val="auto"/>
                <w:sz w:val="26"/>
                <w:szCs w:val="26"/>
              </w:rPr>
              <w:t>Kiểm thử hệ thống</w:t>
            </w:r>
          </w:p>
        </w:tc>
        <w:tc>
          <w:tcPr>
            <w:tcW w:w="2592"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7C3D9199">
            <w:pPr>
              <w:spacing w:before="20" w:after="20"/>
              <w:jc w:val="center"/>
              <w:rPr>
                <w:color w:val="auto"/>
                <w:sz w:val="26"/>
                <w:szCs w:val="26"/>
              </w:rPr>
            </w:pPr>
            <w:r>
              <w:rPr>
                <w:rFonts w:ascii="Times New Roman" w:hAnsi="Times New Roman"/>
                <w:color w:val="auto"/>
                <w:sz w:val="26"/>
                <w:szCs w:val="26"/>
              </w:rPr>
              <w:t>Mở rộng test suite đảm bảo độ tin cậy</w:t>
            </w:r>
          </w:p>
        </w:tc>
        <w:tc>
          <w:tcPr>
            <w:tcW w:w="3600"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642C1BD7">
            <w:pPr>
              <w:spacing w:before="20" w:after="20"/>
              <w:jc w:val="center"/>
              <w:rPr>
                <w:color w:val="auto"/>
                <w:sz w:val="26"/>
                <w:szCs w:val="26"/>
              </w:rPr>
            </w:pPr>
            <w:r>
              <w:rPr>
                <w:rFonts w:ascii="Times New Roman" w:hAnsi="Times New Roman"/>
                <w:color w:val="auto"/>
                <w:sz w:val="26"/>
                <w:szCs w:val="26"/>
              </w:rPr>
              <w:t>165/165 tests PASS, linter ruff và black sạch sẽ 100%</w:t>
            </w:r>
          </w:p>
        </w:tc>
        <w:tc>
          <w:tcPr>
            <w:tcW w:w="1440" w:type="dxa"/>
            <w:tcBorders>
              <w:top w:val="single" w:color="E5E7EB" w:sz="4" w:space="0"/>
              <w:left w:val="single" w:color="F0F0F0" w:sz="4" w:space="0"/>
              <w:bottom w:val="single" w:color="E5E7EB" w:sz="4" w:space="0"/>
              <w:right w:val="single" w:color="F0F0F0" w:sz="4" w:space="0"/>
            </w:tcBorders>
            <w:shd w:val="clear" w:color="auto" w:fill="FFFFFF"/>
            <w:tcMar>
              <w:top w:w="100" w:type="dxa"/>
              <w:left w:w="120" w:type="dxa"/>
              <w:bottom w:w="100" w:type="dxa"/>
              <w:right w:w="120" w:type="dxa"/>
            </w:tcMar>
          </w:tcPr>
          <w:p w14:paraId="1A8271AA">
            <w:pPr>
              <w:spacing w:before="20" w:after="20"/>
              <w:jc w:val="center"/>
              <w:rPr>
                <w:color w:val="auto"/>
                <w:sz w:val="26"/>
                <w:szCs w:val="26"/>
              </w:rPr>
            </w:pPr>
            <w:r>
              <w:rPr>
                <w:rFonts w:ascii="Times New Roman" w:hAnsi="Times New Roman"/>
                <w:color w:val="auto"/>
                <w:sz w:val="26"/>
                <w:szCs w:val="26"/>
              </w:rPr>
              <w:t>Hoàn thành (100%)</w:t>
            </w:r>
          </w:p>
        </w:tc>
      </w:tr>
    </w:tbl>
    <w:p w14:paraId="534EBCA1">
      <w:pPr>
        <w:spacing w:before="80" w:after="120"/>
        <w:rPr>
          <w:color w:val="auto"/>
          <w:sz w:val="26"/>
          <w:szCs w:val="26"/>
        </w:rPr>
      </w:pPr>
    </w:p>
    <w:sectPr>
      <w:pgSz w:w="11909" w:h="16834"/>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FF4369"/>
    <w:rsid w:val="28F4162D"/>
    <w:rsid w:val="3E8E5CF3"/>
    <w:rsid w:val="4C054E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3589</Words>
  <Characters>14841</Characters>
  <Lines>0</Lines>
  <Paragraphs>0</Paragraphs>
  <TotalTime>24</TotalTime>
  <ScaleCrop>false</ScaleCrop>
  <LinksUpToDate>false</LinksUpToDate>
  <CharactersWithSpaces>18199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Trương Dương Hưng</cp:lastModifiedBy>
  <dcterms:modified xsi:type="dcterms:W3CDTF">2026-10-22T19:46:59Z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eyJoZGlkIjoiNGYyYjgwYzExNTVhMWFkMGRlMTVjMWIzNWIyNWNiYTQiLCJ1c2VySWQiOiIxMzkyMTQyNTA0MzAyIn0=</vt:lpwstr>
  </property>
  <property fmtid="{D5CDD505-2E9C-101B-9397-08002B2CF9AE}" pid="3" name="KSOProductBuildVer">
    <vt:lpwstr>1033-12.1.0.29162</vt:lpwstr>
  </property>
  <property fmtid="{D5CDD505-2E9C-101B-9397-08002B2CF9AE}" pid="4" name="ICV">
    <vt:lpwstr>A901DAEECE63421A8F7833FFED61DD07_12</vt:lpwstr>
  </property>
</Properties>
</file>