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jc w:val="center"/>
      </w:pPr>
      <w:r>
        <w:rPr>
          <w:rFonts w:ascii="Times New Roman" w:hAnsi="Times New Roman"/>
          <w:b/>
          <w:color w:val="000000"/>
          <w:sz w:val="28"/>
        </w:rPr>
        <w:t>BÁO CÁO TIẾN ĐỘ ĐỒ ÁN</w:t>
      </w:r>
    </w:p>
    <w:p>
      <w:pPr>
        <w:spacing w:after="240" w:before="0" w:line="240" w:lineRule="auto"/>
        <w:jc w:val="center"/>
      </w:pPr>
      <w:r>
        <w:rPr>
          <w:rFonts w:ascii="Times New Roman" w:hAnsi="Times New Roman"/>
          <w:b/>
          <w:color w:val="000000"/>
          <w:sz w:val="26"/>
        </w:rPr>
        <w:t>BÁO CÁO TIẾN ĐỘ TUẦN — 11/10/2026</w:t>
      </w:r>
    </w:p>
    <w:p>
      <w:pPr>
        <w:spacing w:after="60" w:before="0" w:line="276" w:lineRule="auto"/>
        <w:jc w:val="left"/>
      </w:pPr>
      <w:r>
        <w:rPr>
          <w:rFonts w:ascii="Times New Roman" w:hAnsi="Times New Roman"/>
          <w:b/>
          <w:sz w:val="21"/>
        </w:rPr>
        <w:t xml:space="preserve">Đề tài: </w:t>
      </w:r>
      <w:r>
        <w:rPr>
          <w:rFonts w:ascii="Times New Roman" w:hAnsi="Times New Roman"/>
          <w:sz w:val="21"/>
        </w:rPr>
        <w:t>Hệ thống trí tuệ nhân tạo có thể giải thích (XAI) trong bài toán đánh giá và khám phá tri thức thể thao</w:t>
      </w:r>
    </w:p>
    <w:p>
      <w:pPr>
        <w:spacing w:after="60" w:before="0" w:line="276" w:lineRule="auto"/>
        <w:jc w:val="left"/>
      </w:pPr>
      <w:r>
        <w:rPr>
          <w:rFonts w:ascii="Times New Roman" w:hAnsi="Times New Roman"/>
          <w:b/>
          <w:sz w:val="21"/>
        </w:rPr>
        <w:t xml:space="preserve">Hướng nghiên cứu cụ thể: </w:t>
      </w:r>
      <w:r>
        <w:rPr>
          <w:rFonts w:ascii="Times New Roman" w:hAnsi="Times New Roman"/>
          <w:sz w:val="21"/>
        </w:rPr>
        <w:t>Mạng chuyền bóng và phân tích chiến thuật bóng đá bằng Graph Neural Network (GNN) kết hợp XAI</w:t>
      </w:r>
    </w:p>
    <w:p>
      <w:pPr>
        <w:spacing w:after="60" w:before="0" w:line="276" w:lineRule="auto"/>
        <w:jc w:val="left"/>
      </w:pPr>
      <w:r>
        <w:rPr>
          <w:rFonts w:ascii="Times New Roman" w:hAnsi="Times New Roman"/>
          <w:b/>
          <w:sz w:val="21"/>
        </w:rPr>
        <w:t xml:space="preserve">Thời gian thực hiện: </w:t>
      </w:r>
      <w:r>
        <w:rPr>
          <w:rFonts w:ascii="Times New Roman" w:hAnsi="Times New Roman"/>
          <w:sz w:val="21"/>
        </w:rPr>
        <w:t>Tuần từ 04/10/2026 đến 11/10/2026</w:t>
      </w:r>
    </w:p>
    <w:p>
      <w:pPr>
        <w:spacing w:after="200" w:before="0" w:line="276" w:lineRule="auto"/>
        <w:jc w:val="left"/>
      </w:pPr>
      <w:r>
        <w:rPr>
          <w:rFonts w:ascii="Times New Roman" w:hAnsi="Times New Roman"/>
          <w:b/>
          <w:sz w:val="21"/>
        </w:rPr>
        <w:t xml:space="preserve">Trọng tâm báo cáo: </w:t>
      </w:r>
      <w:r>
        <w:rPr>
          <w:rFonts w:ascii="Times New Roman" w:hAnsi="Times New Roman"/>
          <w:sz w:val="21"/>
        </w:rPr>
        <w:t>Hoàn thiện trọn vẹn 3 bước cốt lõi trong quy trình: Bước [4] Chia tập train/val/test theo trận (tránh rò rỉ dữ liệu); Bước [5] Huấn luyện mô hình GNN (Bài toán 1 – Dự đoán); Bước [6] Đánh giá mô hình dự đoán và Đối sánh 3 tầng (3-tier baselines).</w:t>
      </w:r>
    </w:p>
    <w:p>
      <w:pPr>
        <w:keepNext/>
        <w:spacing w:before="280" w:after="120"/>
      </w:pPr>
      <w:r>
        <w:rPr>
          <w:rFonts w:ascii="Times New Roman" w:hAnsi="Times New Roman"/>
          <w:b/>
          <w:color w:val="2E74B5"/>
          <w:sz w:val="30"/>
        </w:rPr>
        <w:t>1. Tổng quan nội dung hoàn thành trong tuần (Tuần 04/10 – 11/10/2026)</w:t>
      </w:r>
    </w:p>
    <w:p>
      <w:pPr>
        <w:spacing w:after="120" w:before="0" w:line="300" w:lineRule="auto"/>
        <w:jc w:val="both"/>
      </w:pPr>
      <w:r>
        <w:rPr>
          <w:rFonts w:ascii="Times New Roman" w:hAnsi="Times New Roman"/>
          <w:color w:val="000000"/>
          <w:sz w:val="21"/>
        </w:rPr>
        <w:t>Trong tuần làm việc vừa qua, nối tiếp kết quả đã được nghiệm thu của tuần trước (hoàn tất tiền xử lý và trích xuất thành công 45.047 đồ thị possession trên toàn bộ 380 trận đấu của giải Ngoại hạng Anh Premier League 2015/2016), nhóm đã triển khai và hoàn thành dứt điểm 3 bước tiếp theo trong quy trình nghiên cứu. Toàn bộ các bước này tập trung xây dựng nền tảng vững chắc cho Bài toán 1 (Bài toán Dự đoán) trước khi chuyển giao mô hình sang Bài toán 2 (Bài toán Giải thích XAI):</w:t>
      </w:r>
    </w:p>
    <w:p>
      <w:pPr>
        <w:spacing w:after="120" w:before="0" w:line="300" w:lineRule="auto"/>
        <w:jc w:val="both"/>
      </w:pPr>
      <w:r>
        <w:rPr>
          <w:rFonts w:ascii="Times New Roman" w:hAnsi="Times New Roman"/>
          <w:b/>
          <w:color w:val="000000"/>
          <w:sz w:val="21"/>
        </w:rPr>
        <w:t xml:space="preserve">• Bước [4] — Chia tập dữ liệu Train / Validation / Test theo trận: </w:t>
      </w:r>
      <w:r>
        <w:rPr>
          <w:rFonts w:ascii="Times New Roman" w:hAnsi="Times New Roman"/>
          <w:color w:val="000000"/>
          <w:sz w:val="21"/>
        </w:rPr>
        <w:t>Nhóm đã xây dựng cơ chế phân chia tập dữ liệu ở cấp độ trận đấu (match-level split) thay vì phân chia ngẫu nhiên theo từng pha bóng (possession-level split), kết hợp thuật toán phân tầng (stratified splitting) theo tỉ lệ nhãn dương của trận. Cơ chế này loại bỏ hoàn toàn nguy cơ rò rỉ thông tin chiến thuật giữa tập huấn luyện và kiểm thử, đồng thời cố định seed và xuất danh sách trận đấu cụ thể để bảo đảm tính tái lập 100%.</w:t>
      </w:r>
    </w:p>
    <w:p>
      <w:pPr>
        <w:spacing w:after="120" w:before="0" w:line="300" w:lineRule="auto"/>
        <w:jc w:val="both"/>
      </w:pPr>
      <w:r>
        <w:rPr>
          <w:rFonts w:ascii="Times New Roman" w:hAnsi="Times New Roman"/>
          <w:b/>
          <w:color w:val="000000"/>
          <w:sz w:val="21"/>
        </w:rPr>
        <w:t xml:space="preserve">• Bước [5] — Huấn luyện mô hình GNN (Bài toán 1 – Dự đoán): </w:t>
      </w:r>
      <w:r>
        <w:rPr>
          <w:rFonts w:ascii="Times New Roman" w:hAnsi="Times New Roman"/>
          <w:color w:val="000000"/>
          <w:sz w:val="21"/>
        </w:rPr>
        <w:t>Nhóm đã xây dựng và hoàn thiện pipeline huấn luyện mô hình dự đoán xác suất pha bóng dẫn đến cú sút ở cấp độ đồ thị (Graph Classification). Nhóm đã cài đặt 4 kiến trúc GNN (MPNN, GCN, GATv2, GraphSAGE) với không gian 8 đặc trưng đỉnh và 12 đặc trưng cạnh phong phú; thiết lập hàm mất mát Weighted BCE Loss (pos_weight = 6,31) giải quyết triệt để bài toán mất cân bằng lớp; áp dụng tối ưu AdamW kết hợp cơ chế dừng sớm (Early Stopping) giám sát theo chỉ số AUC-PR.</w:t>
      </w:r>
    </w:p>
    <w:p>
      <w:pPr>
        <w:spacing w:after="120" w:before="0" w:line="300" w:lineRule="auto"/>
        <w:jc w:val="both"/>
      </w:pPr>
      <w:r>
        <w:rPr>
          <w:rFonts w:ascii="Times New Roman" w:hAnsi="Times New Roman"/>
          <w:b/>
          <w:color w:val="000000"/>
          <w:sz w:val="21"/>
        </w:rPr>
        <w:t xml:space="preserve">• Bước [6] — Đánh giá mô hình dự đoán và Đối sánh 3 tầng: </w:t>
      </w:r>
      <w:r>
        <w:rPr>
          <w:rFonts w:ascii="Times New Roman" w:hAnsi="Times New Roman"/>
          <w:color w:val="000000"/>
          <w:sz w:val="21"/>
        </w:rPr>
        <w:t>Nhóm đã thực hiện đánh giá toàn diện trên tập kiểm tra độc lập gồm 6.646 đồ thị của 57 trận đấu chưa từng xuất hiện trong quá trình huấn luyện. Kết quả được đối sánh theo đúng cam kết 3 tầng: Tầng 2 (đối sánh 4 kiến trúc backbone GNN trên cùng cấu hình dữ liệu) và Tầng 3(a) (đối sánh với 3 baseline phi đồ thị: Logistic Regression, Random Forest, ANN trên 16 đặc trưng passing path). Kết quả thực nghiệm khẳng định MPNN vượt trội hoàn toàn trong nhóm mô hình đồ thị và bám sát các baseline dạng bảng, đồng thời bảo toàn trọn vẹn cấu trúc mạng để phục vụ bước giải thích XAI.</w:t>
      </w:r>
    </w:p>
    <w:tbl>
      <w:tblPr>
        <w:tblW w:type="auto" w:w="0"/>
        <w:jc w:val="center"/>
        <w:tblLayout w:type="fixed"/>
        <w:tblLook w:firstColumn="1" w:firstRow="1" w:lastColumn="0" w:lastRow="0" w:noHBand="0" w:noVBand="1" w:val="04A0"/>
      </w:tblPr>
      <w:tblGrid>
        <w:gridCol w:w="9749"/>
      </w:tblGrid>
      <w:tr>
        <w:tc>
          <w:tcPr>
            <w:tcW w:type="dxa" w:w="9792"/>
            <w:shd w:fill="F2F5F9"/>
            <w:tcBorders>
              <w:top w:val="none"/>
              <w:left w:val="single" w:sz="24" w:space="0" w:color="2E74B5"/>
              <w:bottom w:val="none"/>
              <w:right w:val="none"/>
            </w:tcBorders>
            <w:tcMar>
              <w:top w:w="140" w:type="dxa"/>
              <w:bottom w:w="140" w:type="dxa"/>
              <w:left w:w="180" w:type="dxa"/>
              <w:right w:w="180" w:type="dxa"/>
            </w:tcMar>
          </w:tcPr>
          <w:p>
            <w:pPr>
              <w:spacing w:line="300" w:lineRule="auto" w:before="40" w:after="40"/>
            </w:pPr>
            <w:r>
              <w:rPr>
                <w:rFonts w:ascii="Times New Roman" w:hAnsi="Times New Roman"/>
                <w:b/>
                <w:color w:val="1F4D78"/>
                <w:sz w:val="20"/>
              </w:rPr>
              <w:t xml:space="preserve">Tóm tắt trạng thái kỹ thuật: </w:t>
            </w:r>
            <w:r>
              <w:rPr>
                <w:rFonts w:ascii="Times New Roman" w:hAnsi="Times New Roman"/>
                <w:color w:val="000000"/>
                <w:sz w:val="20"/>
              </w:rPr>
              <w:t>Toàn bộ mã nguồn, cấu hình thử nghiệm và dữ liệu đã vượt qua 52/52 bài kiểm thử tự động (pytest), kiểm tra linter (ruff) và định dạng (black) đạt chuẩn chất lượng tuyệt đối. Tất cả các bảng thống kê và mô hình tốt nhất đã được lưu trữ chính thức trong hệ thống.</w:t>
            </w:r>
          </w:p>
        </w:tc>
      </w:tr>
    </w:tbl>
    <w:p>
      <w:pPr>
        <w:spacing w:before="0" w:after="80"/>
      </w:pPr>
    </w:p>
    <w:p>
      <w:pPr>
        <w:keepNext/>
        <w:spacing w:before="280" w:after="120"/>
      </w:pPr>
      <w:r>
        <w:rPr>
          <w:rFonts w:ascii="Times New Roman" w:hAnsi="Times New Roman"/>
          <w:b/>
          <w:color w:val="2E74B5"/>
          <w:sz w:val="30"/>
        </w:rPr>
        <w:t>2. Chi tiết triển khai và Kết quả Bước [4] — Chia tập dữ liệu (Tránh rò rỉ)</w:t>
      </w:r>
    </w:p>
    <w:p>
      <w:pPr>
        <w:keepNext/>
        <w:spacing w:before="220" w:after="80"/>
      </w:pPr>
      <w:r>
        <w:rPr>
          <w:rFonts w:ascii="Times New Roman" w:hAnsi="Times New Roman"/>
          <w:b/>
          <w:color w:val="2E74B5"/>
          <w:sz w:val="25"/>
        </w:rPr>
        <w:t>2.1. Phương pháp luận và Cơ chế chống rò rỉ dữ liệu (Zero Data Leakage)</w:t>
      </w:r>
    </w:p>
    <w:p>
      <w:pPr>
        <w:spacing w:after="120" w:before="0" w:line="300" w:lineRule="auto"/>
        <w:jc w:val="both"/>
      </w:pPr>
      <w:r>
        <w:rPr>
          <w:rFonts w:ascii="Times New Roman" w:hAnsi="Times New Roman"/>
          <w:color w:val="000000"/>
          <w:sz w:val="21"/>
        </w:rPr>
        <w:t>Trong phân tích bóng đá, các pha kiểm soát bóng (possession) diễn ra trong cùng một trận đấu có sự phụ thuộc rất lớn vào bối cảnh: hai đội bóng đối đầu trực tiếp, đội hình xuất phát cụ thể, huấn luyện viên, sơ đồ chiến thuật và điều kiện thời tiết/sân bãi. Nếu áp dụng cách chia ngẫu nhiên truyền thống ở cấp độ từng pha bóng (possession-level split), các possession của cùng một trận sẽ xuất hiện đồng thời ở cả tập huấn luyện (train) và tập kiểm tra (test). Khi đó, mô hình GNN rất dễ học vẹt các mẫu hình phối hợp đặc thù của trận đấu đó, dẫn đến hiện tượng rò rỉ dữ liệu (data leakage) nghiêm trọng và làm sai lệch hoàn toàn tính khách quan của kết quả đánh giá.</w:t>
      </w:r>
    </w:p>
    <w:p>
      <w:pPr>
        <w:spacing w:after="120" w:before="0" w:line="300" w:lineRule="auto"/>
        <w:jc w:val="both"/>
      </w:pPr>
      <w:r>
        <w:rPr>
          <w:rFonts w:ascii="Times New Roman" w:hAnsi="Times New Roman"/>
          <w:color w:val="000000"/>
          <w:sz w:val="21"/>
        </w:rPr>
        <w:t>Để đảm bảo tính trung thực khoa học, nhóm tuân thủ nguyên tắc bắt buộc: Phân chia tập dữ liệu ở cấp độ TRẬN ĐẤU (match-level split). Toàn bộ các pha bóng thuộc về cùng một trận đấu chỉ được phép xuất hiện duy nhất ở một tập (Train, Validation hoặc Test).</w:t>
      </w:r>
    </w:p>
    <w:p>
      <w:pPr>
        <w:spacing w:after="120" w:before="0" w:line="300" w:lineRule="auto"/>
        <w:jc w:val="both"/>
      </w:pPr>
      <w:r>
        <w:rPr>
          <w:rFonts w:ascii="Times New Roman" w:hAnsi="Times New Roman"/>
          <w:b/>
          <w:color w:val="000000"/>
          <w:sz w:val="21"/>
        </w:rPr>
        <w:t xml:space="preserve">Thuật toán phân tầng đề xuất: </w:t>
      </w:r>
      <w:r>
        <w:rPr>
          <w:rFonts w:ascii="Times New Roman" w:hAnsi="Times New Roman"/>
          <w:color w:val="000000"/>
          <w:sz w:val="21"/>
        </w:rPr>
        <w:t>Nhóm áp dụng giải thuật phân tầng theo trận (Stratified Match Split) với các bước cụ thể:</w:t>
      </w:r>
    </w:p>
    <w:p>
      <w:pPr>
        <w:spacing w:after="120" w:before="0" w:line="300" w:lineRule="auto"/>
        <w:jc w:val="both"/>
      </w:pPr>
      <w:r>
        <w:rPr>
          <w:rFonts w:ascii="Times New Roman" w:hAnsi="Times New Roman"/>
          <w:color w:val="000000"/>
          <w:sz w:val="21"/>
        </w:rPr>
        <w:t>1. Thống kê số lượng pha bóng và tỉ lệ nhãn dương (possession dẫn đến cú sút) cho từng trận đấu trong toàn bộ 380 trận.</w:t>
        <w:br/>
        <w:t>2. Chia phân phối tỉ lệ nhãn dương của các trận thành 5 khoảng phân vị (quantile bins).</w:t>
        <w:br/>
        <w:t>3. Phân chia có phân tầng theo tỉ lệ 70% Train (266 trận), 15% Validation (57 trận), và 15% Test (57 trận) dựa trên các khoảng phân vị này, bảo đảm tỉ lệ nhãn dương tổng thể ở cả 3 tập luôn cân bằng nhau.</w:t>
        <w:br/>
        <w:t>4. Cố định giá trị random seed = 42, xuất cố định danh sách mã trận đấu ra các tệp tin CSV (train_matches.csv, val_matches.csv, test_matches.csv, match_splits.csv) để phục vụ kiểm chứng độc lập.</w:t>
      </w:r>
    </w:p>
    <w:p>
      <w:pPr>
        <w:keepNext/>
        <w:spacing w:before="220" w:after="80"/>
      </w:pPr>
      <w:r>
        <w:rPr>
          <w:rFonts w:ascii="Times New Roman" w:hAnsi="Times New Roman"/>
          <w:b/>
          <w:color w:val="2E74B5"/>
          <w:sz w:val="25"/>
        </w:rPr>
        <w:t>2.2. Kết quả định lượng phân chia dữ liệu</w:t>
      </w:r>
    </w:p>
    <w:p>
      <w:pPr>
        <w:spacing w:after="120" w:before="0" w:line="300" w:lineRule="auto"/>
        <w:jc w:val="both"/>
      </w:pPr>
      <w:r>
        <w:rPr>
          <w:rFonts w:ascii="Times New Roman" w:hAnsi="Times New Roman"/>
          <w:color w:val="000000"/>
          <w:sz w:val="21"/>
        </w:rPr>
        <w:t>Dưới đây là bảng thống kê định lượng chi tiết phân bổ dữ liệu giữa 3 tập trên toàn bộ 380 trận đấu và 45.365 pha bóng sạch của mùa giải:</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93"/>
        <w:gridCol w:w="1393"/>
        <w:gridCol w:w="1393"/>
        <w:gridCol w:w="1393"/>
        <w:gridCol w:w="1393"/>
        <w:gridCol w:w="1393"/>
        <w:gridCol w:w="1393"/>
      </w:tblGrid>
      <w:tr>
        <w:trPr>
          <w:tblHeader/>
        </w:trPr>
        <w:tc>
          <w:tcPr>
            <w:tcW w:type="dxa" w:w="1584"/>
            <w:shd w:fill="2E74B5"/>
            <w:tcMar>
              <w:top w:w="120" w:type="dxa"/>
              <w:bottom w:w="120" w:type="dxa"/>
              <w:left w:w="120" w:type="dxa"/>
              <w:right w:w="120" w:type="dxa"/>
            </w:tcMar>
          </w:tcPr>
          <w:p>
            <w:pPr>
              <w:spacing w:before="0" w:after="0"/>
              <w:jc w:val="center"/>
            </w:pPr>
            <w:r>
              <w:rPr>
                <w:rFonts w:ascii="Times New Roman" w:hAnsi="Times New Roman"/>
                <w:b/>
                <w:color w:val="FFFFFF"/>
                <w:sz w:val="19"/>
              </w:rPr>
              <w:t>Tập dữ liệu</w:t>
            </w:r>
          </w:p>
        </w:tc>
        <w:tc>
          <w:tcPr>
            <w:tcW w:type="dxa" w:w="1296"/>
            <w:shd w:fill="2E74B5"/>
            <w:tcMar>
              <w:top w:w="120" w:type="dxa"/>
              <w:bottom w:w="120" w:type="dxa"/>
              <w:left w:w="120" w:type="dxa"/>
              <w:right w:w="120" w:type="dxa"/>
            </w:tcMar>
          </w:tcPr>
          <w:p>
            <w:pPr>
              <w:spacing w:before="0" w:after="0"/>
              <w:jc w:val="center"/>
            </w:pPr>
            <w:r>
              <w:rPr>
                <w:rFonts w:ascii="Times New Roman" w:hAnsi="Times New Roman"/>
                <w:b/>
                <w:color w:val="FFFFFF"/>
                <w:sz w:val="19"/>
              </w:rPr>
              <w:t>Số trận (match)</w:t>
            </w:r>
          </w:p>
        </w:tc>
        <w:tc>
          <w:tcPr>
            <w:tcW w:type="dxa" w:w="1152"/>
            <w:shd w:fill="2E74B5"/>
            <w:tcMar>
              <w:top w:w="120" w:type="dxa"/>
              <w:bottom w:w="120" w:type="dxa"/>
              <w:left w:w="120" w:type="dxa"/>
              <w:right w:w="120" w:type="dxa"/>
            </w:tcMar>
          </w:tcPr>
          <w:p>
            <w:pPr>
              <w:spacing w:before="0" w:after="0"/>
              <w:jc w:val="center"/>
            </w:pPr>
            <w:r>
              <w:rPr>
                <w:rFonts w:ascii="Times New Roman" w:hAnsi="Times New Roman"/>
                <w:b/>
                <w:color w:val="FFFFFF"/>
                <w:sz w:val="19"/>
              </w:rPr>
              <w:t>Tỉ lệ trận</w:t>
            </w:r>
          </w:p>
        </w:tc>
        <w:tc>
          <w:tcPr>
            <w:tcW w:type="dxa" w:w="1584"/>
            <w:shd w:fill="2E74B5"/>
            <w:tcMar>
              <w:top w:w="120" w:type="dxa"/>
              <w:bottom w:w="120" w:type="dxa"/>
              <w:left w:w="120" w:type="dxa"/>
              <w:right w:w="120" w:type="dxa"/>
            </w:tcMar>
          </w:tcPr>
          <w:p>
            <w:pPr>
              <w:spacing w:before="0" w:after="0"/>
              <w:jc w:val="center"/>
            </w:pPr>
            <w:r>
              <w:rPr>
                <w:rFonts w:ascii="Times New Roman" w:hAnsi="Times New Roman"/>
                <w:b/>
                <w:color w:val="FFFFFF"/>
                <w:sz w:val="19"/>
              </w:rPr>
              <w:t>Số possessions</w:t>
            </w:r>
          </w:p>
        </w:tc>
        <w:tc>
          <w:tcPr>
            <w:tcW w:type="dxa" w:w="1584"/>
            <w:shd w:fill="2E74B5"/>
            <w:tcMar>
              <w:top w:w="120" w:type="dxa"/>
              <w:bottom w:w="120" w:type="dxa"/>
              <w:left w:w="120" w:type="dxa"/>
              <w:right w:w="120" w:type="dxa"/>
            </w:tcMar>
          </w:tcPr>
          <w:p>
            <w:pPr>
              <w:spacing w:before="0" w:after="0"/>
              <w:jc w:val="center"/>
            </w:pPr>
            <w:r>
              <w:rPr>
                <w:rFonts w:ascii="Times New Roman" w:hAnsi="Times New Roman"/>
                <w:b/>
                <w:color w:val="FFFFFF"/>
                <w:sz w:val="19"/>
              </w:rPr>
              <w:t>Tỉ lệ possession</w:t>
            </w:r>
          </w:p>
        </w:tc>
        <w:tc>
          <w:tcPr>
            <w:tcW w:type="dxa" w:w="1440"/>
            <w:shd w:fill="2E74B5"/>
            <w:tcMar>
              <w:top w:w="120" w:type="dxa"/>
              <w:bottom w:w="120" w:type="dxa"/>
              <w:left w:w="120" w:type="dxa"/>
              <w:right w:w="120" w:type="dxa"/>
            </w:tcMar>
          </w:tcPr>
          <w:p>
            <w:pPr>
              <w:spacing w:before="0" w:after="0"/>
              <w:jc w:val="center"/>
            </w:pPr>
            <w:r>
              <w:rPr>
                <w:rFonts w:ascii="Times New Roman" w:hAnsi="Times New Roman"/>
                <w:b/>
                <w:color w:val="FFFFFF"/>
                <w:sz w:val="19"/>
              </w:rPr>
              <w:t>Số nhãn dương (Shot)</w:t>
            </w:r>
          </w:p>
        </w:tc>
        <w:tc>
          <w:tcPr>
            <w:tcW w:type="dxa" w:w="1440"/>
            <w:shd w:fill="2E74B5"/>
            <w:tcMar>
              <w:top w:w="120" w:type="dxa"/>
              <w:bottom w:w="120" w:type="dxa"/>
              <w:left w:w="120" w:type="dxa"/>
              <w:right w:w="120" w:type="dxa"/>
            </w:tcMar>
          </w:tcPr>
          <w:p>
            <w:pPr>
              <w:spacing w:before="0" w:after="0"/>
              <w:jc w:val="center"/>
            </w:pPr>
            <w:r>
              <w:rPr>
                <w:rFonts w:ascii="Times New Roman" w:hAnsi="Times New Roman"/>
                <w:b/>
                <w:color w:val="FFFFFF"/>
                <w:sz w:val="19"/>
              </w:rPr>
              <w:t>Tỉ lệ nhãn dương</w:t>
            </w:r>
          </w:p>
        </w:tc>
      </w:tr>
      <w:tr>
        <w:tc>
          <w:tcPr>
            <w:tcW w:type="dxa" w:w="1584"/>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Train</w:t>
            </w:r>
          </w:p>
        </w:tc>
        <w:tc>
          <w:tcPr>
            <w:tcW w:type="dxa" w:w="1296"/>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266</w:t>
            </w:r>
          </w:p>
        </w:tc>
        <w:tc>
          <w:tcPr>
            <w:tcW w:type="dxa" w:w="115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70,0%</w:t>
            </w:r>
          </w:p>
        </w:tc>
        <w:tc>
          <w:tcPr>
            <w:tcW w:type="dxa" w:w="158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31.864</w:t>
            </w:r>
          </w:p>
        </w:tc>
        <w:tc>
          <w:tcPr>
            <w:tcW w:type="dxa" w:w="1584"/>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70,24%</w:t>
            </w:r>
          </w:p>
        </w:tc>
        <w:tc>
          <w:tcPr>
            <w:tcW w:type="dxa" w:w="144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4.548</w:t>
            </w:r>
          </w:p>
        </w:tc>
        <w:tc>
          <w:tcPr>
            <w:tcW w:type="dxa" w:w="1440"/>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14,27%</w:t>
            </w:r>
          </w:p>
        </w:tc>
      </w:tr>
      <w:tr>
        <w:tc>
          <w:tcPr>
            <w:tcW w:type="dxa" w:w="1584"/>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Validation</w:t>
            </w:r>
          </w:p>
        </w:tc>
        <w:tc>
          <w:tcPr>
            <w:tcW w:type="dxa" w:w="1296"/>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57</w:t>
            </w:r>
          </w:p>
        </w:tc>
        <w:tc>
          <w:tcPr>
            <w:tcW w:type="dxa" w:w="1152"/>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15,0%</w:t>
            </w:r>
          </w:p>
        </w:tc>
        <w:tc>
          <w:tcPr>
            <w:tcW w:type="dxa" w:w="158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6.811</w:t>
            </w:r>
          </w:p>
        </w:tc>
        <w:tc>
          <w:tcPr>
            <w:tcW w:type="dxa" w:w="1584"/>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15,01%</w:t>
            </w:r>
          </w:p>
        </w:tc>
        <w:tc>
          <w:tcPr>
            <w:tcW w:type="dxa" w:w="144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961</w:t>
            </w:r>
          </w:p>
        </w:tc>
        <w:tc>
          <w:tcPr>
            <w:tcW w:type="dxa" w:w="1440"/>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14,11%</w:t>
            </w:r>
          </w:p>
        </w:tc>
      </w:tr>
      <w:tr>
        <w:tc>
          <w:tcPr>
            <w:tcW w:type="dxa" w:w="1584"/>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Test</w:t>
            </w:r>
          </w:p>
        </w:tc>
        <w:tc>
          <w:tcPr>
            <w:tcW w:type="dxa" w:w="1296"/>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57</w:t>
            </w:r>
          </w:p>
        </w:tc>
        <w:tc>
          <w:tcPr>
            <w:tcW w:type="dxa" w:w="115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15,0%</w:t>
            </w:r>
          </w:p>
        </w:tc>
        <w:tc>
          <w:tcPr>
            <w:tcW w:type="dxa" w:w="158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6.690</w:t>
            </w:r>
          </w:p>
        </w:tc>
        <w:tc>
          <w:tcPr>
            <w:tcW w:type="dxa" w:w="1584"/>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14,75%</w:t>
            </w:r>
          </w:p>
        </w:tc>
        <w:tc>
          <w:tcPr>
            <w:tcW w:type="dxa" w:w="144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962</w:t>
            </w:r>
          </w:p>
        </w:tc>
        <w:tc>
          <w:tcPr>
            <w:tcW w:type="dxa" w:w="1440"/>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14,38%</w:t>
            </w:r>
          </w:p>
        </w:tc>
      </w:tr>
      <w:tr>
        <w:tc>
          <w:tcPr>
            <w:tcW w:type="dxa" w:w="1584"/>
            <w:shd w:fill="EBF1F5"/>
            <w:tcMar>
              <w:top w:w="90" w:type="dxa"/>
              <w:bottom w:w="90" w:type="dxa"/>
              <w:left w:w="120" w:type="dxa"/>
              <w:right w:w="120" w:type="dxa"/>
            </w:tcMar>
          </w:tcPr>
          <w:p>
            <w:pPr>
              <w:spacing w:before="0" w:after="0" w:line="276" w:lineRule="auto"/>
              <w:jc w:val="left"/>
            </w:pPr>
            <w:r>
              <w:rPr>
                <w:rFonts w:ascii="Times New Roman" w:hAnsi="Times New Roman"/>
                <w:b/>
                <w:color w:val="1F4D78"/>
                <w:sz w:val="19"/>
              </w:rPr>
              <w:t>Tổng cộng</w:t>
            </w:r>
          </w:p>
        </w:tc>
        <w:tc>
          <w:tcPr>
            <w:tcW w:type="dxa" w:w="1296"/>
            <w:shd w:fill="EBF1F5"/>
            <w:tcMar>
              <w:top w:w="90" w:type="dxa"/>
              <w:bottom w:w="90" w:type="dxa"/>
              <w:left w:w="120" w:type="dxa"/>
              <w:right w:w="120" w:type="dxa"/>
            </w:tcMar>
          </w:tcPr>
          <w:p>
            <w:pPr>
              <w:spacing w:before="0" w:after="0" w:line="276" w:lineRule="auto"/>
              <w:jc w:val="center"/>
            </w:pPr>
            <w:r>
              <w:rPr>
                <w:rFonts w:ascii="Times New Roman" w:hAnsi="Times New Roman"/>
                <w:b/>
                <w:color w:val="1F4D78"/>
                <w:sz w:val="19"/>
              </w:rPr>
              <w:t>380</w:t>
            </w:r>
          </w:p>
        </w:tc>
        <w:tc>
          <w:tcPr>
            <w:tcW w:type="dxa" w:w="1152"/>
            <w:shd w:fill="EBF1F5"/>
            <w:tcMar>
              <w:top w:w="90" w:type="dxa"/>
              <w:bottom w:w="90" w:type="dxa"/>
              <w:left w:w="120" w:type="dxa"/>
              <w:right w:w="120" w:type="dxa"/>
            </w:tcMar>
          </w:tcPr>
          <w:p>
            <w:pPr>
              <w:spacing w:before="0" w:after="0" w:line="276" w:lineRule="auto"/>
              <w:jc w:val="center"/>
            </w:pPr>
            <w:r>
              <w:rPr>
                <w:rFonts w:ascii="Times New Roman" w:hAnsi="Times New Roman"/>
                <w:b/>
                <w:color w:val="1F4D78"/>
                <w:sz w:val="19"/>
              </w:rPr>
              <w:t>100,0%</w:t>
            </w:r>
          </w:p>
        </w:tc>
        <w:tc>
          <w:tcPr>
            <w:tcW w:type="dxa" w:w="1584"/>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45.365</w:t>
            </w:r>
          </w:p>
        </w:tc>
        <w:tc>
          <w:tcPr>
            <w:tcW w:type="dxa" w:w="1584"/>
            <w:shd w:fill="EBF1F5"/>
            <w:tcMar>
              <w:top w:w="90" w:type="dxa"/>
              <w:bottom w:w="90" w:type="dxa"/>
              <w:left w:w="120" w:type="dxa"/>
              <w:right w:w="120" w:type="dxa"/>
            </w:tcMar>
          </w:tcPr>
          <w:p>
            <w:pPr>
              <w:spacing w:before="0" w:after="0" w:line="276" w:lineRule="auto"/>
              <w:jc w:val="center"/>
            </w:pPr>
            <w:r>
              <w:rPr>
                <w:rFonts w:ascii="Times New Roman" w:hAnsi="Times New Roman"/>
                <w:b/>
                <w:color w:val="1F4D78"/>
                <w:sz w:val="19"/>
              </w:rPr>
              <w:t>100,0%</w:t>
            </w:r>
          </w:p>
        </w:tc>
        <w:tc>
          <w:tcPr>
            <w:tcW w:type="dxa" w:w="1440"/>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6.471</w:t>
            </w:r>
          </w:p>
        </w:tc>
        <w:tc>
          <w:tcPr>
            <w:tcW w:type="dxa" w:w="1440"/>
            <w:shd w:fill="EBF1F5"/>
            <w:tcMar>
              <w:top w:w="90" w:type="dxa"/>
              <w:bottom w:w="90" w:type="dxa"/>
              <w:left w:w="120" w:type="dxa"/>
              <w:right w:w="120" w:type="dxa"/>
            </w:tcMar>
          </w:tcPr>
          <w:p>
            <w:pPr>
              <w:spacing w:before="0" w:after="0" w:line="276" w:lineRule="auto"/>
              <w:jc w:val="center"/>
            </w:pPr>
            <w:r>
              <w:rPr>
                <w:rFonts w:ascii="Times New Roman" w:hAnsi="Times New Roman"/>
                <w:b/>
                <w:color w:val="1F4D78"/>
                <w:sz w:val="19"/>
              </w:rPr>
              <w:t>14,26%</w:t>
            </w:r>
          </w:p>
        </w:tc>
      </w:tr>
    </w:tbl>
    <w:p>
      <w:pPr>
        <w:spacing w:before="0" w:after="120"/>
      </w:pPr>
    </w:p>
    <w:p>
      <w:pPr>
        <w:spacing w:after="120" w:before="0" w:line="300" w:lineRule="auto"/>
        <w:jc w:val="both"/>
      </w:pPr>
      <w:r>
        <w:rPr>
          <w:rFonts w:ascii="Times New Roman" w:hAnsi="Times New Roman"/>
          <w:color w:val="000000"/>
          <w:sz w:val="21"/>
        </w:rPr>
        <w:t>Khi ánh xạ sang tập 45.047 đối tượng đồ thị PyTorch Geometric hợp lệ (đã lọc các pha bóng dưới 2 đường chuyền thành công hoặc đồ thị suy biến), số lượng đồ thị cụ thể ở từng tập như sau:</w:t>
        <w:br/>
        <w:t>• Tập Train: 31.644 đồ thị (trong đó 4.328 đồ thị nhãn dương và 27.316 đồ thị nhãn âm).</w:t>
        <w:br/>
        <w:t>• Tập Validation: 6.757 đồ thị (trong đó 945 đồ thị nhãn dương và 5.812 đồ thị nhãn âm).</w:t>
        <w:br/>
        <w:t>• Tập Test: 6.646 đồ thị (trong đó 936 đồ thị nhãn dương và 5.710 đồ thị nhãn âm).</w:t>
      </w:r>
    </w:p>
    <w:p>
      <w:pPr>
        <w:keepNext/>
        <w:spacing w:before="220" w:after="80"/>
      </w:pPr>
      <w:r>
        <w:rPr>
          <w:rFonts w:ascii="Times New Roman" w:hAnsi="Times New Roman"/>
          <w:b/>
          <w:color w:val="2E74B5"/>
          <w:sz w:val="25"/>
        </w:rPr>
        <w:t>2.3. Kết quả kiểm tra toàn vẹn phân chia (Split Sanity Checks)</w:t>
      </w:r>
    </w:p>
    <w:p>
      <w:pPr>
        <w:spacing w:after="120" w:before="0" w:line="300" w:lineRule="auto"/>
        <w:jc w:val="both"/>
      </w:pPr>
      <w:r>
        <w:rPr>
          <w:rFonts w:ascii="Times New Roman" w:hAnsi="Times New Roman"/>
          <w:color w:val="000000"/>
          <w:sz w:val="21"/>
        </w:rPr>
        <w:t>Nhóm đã xây dựng bộ kiểm thử tự động với 5 tiêu chí định lượng khắt khe để xác nhận tính toàn vẹn của dữ liệu phân chia: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37"/>
        <w:gridCol w:w="2437"/>
        <w:gridCol w:w="2437"/>
        <w:gridCol w:w="2437"/>
      </w:tblGrid>
      <w:tr>
        <w:trPr>
          <w:tblHeader/>
        </w:trPr>
        <w:tc>
          <w:tcPr>
            <w:tcW w:type="dxa" w:w="2592"/>
            <w:shd w:fill="2E74B5"/>
            <w:tcMar>
              <w:top w:w="120" w:type="dxa"/>
              <w:bottom w:w="120" w:type="dxa"/>
              <w:left w:w="120" w:type="dxa"/>
              <w:right w:w="120" w:type="dxa"/>
            </w:tcMar>
          </w:tcPr>
          <w:p>
            <w:pPr>
              <w:spacing w:before="0" w:after="0"/>
              <w:jc w:val="center"/>
            </w:pPr>
            <w:r>
              <w:rPr>
                <w:rFonts w:ascii="Times New Roman" w:hAnsi="Times New Roman"/>
                <w:b/>
                <w:color w:val="FFFFFF"/>
                <w:sz w:val="19"/>
              </w:rPr>
              <w:t>Tiêu chí kiểm tra</w:t>
            </w:r>
          </w:p>
        </w:tc>
        <w:tc>
          <w:tcPr>
            <w:tcW w:type="dxa" w:w="3888"/>
            <w:shd w:fill="2E74B5"/>
            <w:tcMar>
              <w:top w:w="120" w:type="dxa"/>
              <w:bottom w:w="120" w:type="dxa"/>
              <w:left w:w="120" w:type="dxa"/>
              <w:right w:w="120" w:type="dxa"/>
            </w:tcMar>
          </w:tcPr>
          <w:p>
            <w:pPr>
              <w:spacing w:before="0" w:after="0"/>
              <w:jc w:val="center"/>
            </w:pPr>
            <w:r>
              <w:rPr>
                <w:rFonts w:ascii="Times New Roman" w:hAnsi="Times New Roman"/>
                <w:b/>
                <w:color w:val="FFFFFF"/>
                <w:sz w:val="19"/>
              </w:rPr>
              <w:t>Mô tả / Ngưỡng kỹ thuật</w:t>
            </w:r>
          </w:p>
        </w:tc>
        <w:tc>
          <w:tcPr>
            <w:tcW w:type="dxa" w:w="1872"/>
            <w:shd w:fill="2E74B5"/>
            <w:tcMar>
              <w:top w:w="120" w:type="dxa"/>
              <w:bottom w:w="120" w:type="dxa"/>
              <w:left w:w="120" w:type="dxa"/>
              <w:right w:w="120" w:type="dxa"/>
            </w:tcMar>
          </w:tcPr>
          <w:p>
            <w:pPr>
              <w:spacing w:before="0" w:after="0"/>
              <w:jc w:val="center"/>
            </w:pPr>
            <w:r>
              <w:rPr>
                <w:rFonts w:ascii="Times New Roman" w:hAnsi="Times New Roman"/>
                <w:b/>
                <w:color w:val="FFFFFF"/>
                <w:sz w:val="19"/>
              </w:rPr>
              <w:t>Giá trị thực tế</w:t>
            </w:r>
          </w:p>
        </w:tc>
        <w:tc>
          <w:tcPr>
            <w:tcW w:type="dxa" w:w="1296"/>
            <w:shd w:fill="2E74B5"/>
            <w:tcMar>
              <w:top w:w="120" w:type="dxa"/>
              <w:bottom w:w="120" w:type="dxa"/>
              <w:left w:w="120" w:type="dxa"/>
              <w:right w:w="120" w:type="dxa"/>
            </w:tcMar>
          </w:tcPr>
          <w:p>
            <w:pPr>
              <w:spacing w:before="0" w:after="0"/>
              <w:jc w:val="center"/>
            </w:pPr>
            <w:r>
              <w:rPr>
                <w:rFonts w:ascii="Times New Roman" w:hAnsi="Times New Roman"/>
                <w:b/>
                <w:color w:val="FFFFFF"/>
                <w:sz w:val="19"/>
              </w:rPr>
              <w:t>Kết quả</w:t>
            </w:r>
          </w:p>
        </w:tc>
      </w:tr>
      <w:tr>
        <w:tc>
          <w:tcPr>
            <w:tcW w:type="dxa" w:w="259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no_leakage_train_val</w:t>
            </w:r>
          </w:p>
        </w:tc>
        <w:tc>
          <w:tcPr>
            <w:tcW w:type="dxa" w:w="388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Số trận trùng lặp giữa tập Train và tập Val</w:t>
            </w:r>
          </w:p>
        </w:tc>
        <w:tc>
          <w:tcPr>
            <w:tcW w:type="dxa" w:w="187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0 trận</w:t>
            </w:r>
          </w:p>
        </w:tc>
        <w:tc>
          <w:tcPr>
            <w:tcW w:type="dxa" w:w="1296"/>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PASS</w:t>
            </w:r>
          </w:p>
        </w:tc>
      </w:tr>
      <w:tr>
        <w:tc>
          <w:tcPr>
            <w:tcW w:type="dxa" w:w="259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no_leakage_train_test</w:t>
            </w:r>
          </w:p>
        </w:tc>
        <w:tc>
          <w:tcPr>
            <w:tcW w:type="dxa" w:w="388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Số trận trùng lặp giữa tập Train và tập Test</w:t>
            </w:r>
          </w:p>
        </w:tc>
        <w:tc>
          <w:tcPr>
            <w:tcW w:type="dxa" w:w="1872"/>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0 trận</w:t>
            </w:r>
          </w:p>
        </w:tc>
        <w:tc>
          <w:tcPr>
            <w:tcW w:type="dxa" w:w="1296"/>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PASS</w:t>
            </w:r>
          </w:p>
        </w:tc>
      </w:tr>
      <w:tr>
        <w:tc>
          <w:tcPr>
            <w:tcW w:type="dxa" w:w="259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no_leakage_val_test</w:t>
            </w:r>
          </w:p>
        </w:tc>
        <w:tc>
          <w:tcPr>
            <w:tcW w:type="dxa" w:w="388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Số trận trùng lặp giữa tập Val và tập Test</w:t>
            </w:r>
          </w:p>
        </w:tc>
        <w:tc>
          <w:tcPr>
            <w:tcW w:type="dxa" w:w="187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0 trận</w:t>
            </w:r>
          </w:p>
        </w:tc>
        <w:tc>
          <w:tcPr>
            <w:tcW w:type="dxa" w:w="1296"/>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PASS</w:t>
            </w:r>
          </w:p>
        </w:tc>
      </w:tr>
      <w:tr>
        <w:tc>
          <w:tcPr>
            <w:tcW w:type="dxa" w:w="259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splits_cover_all_matches</w:t>
            </w:r>
          </w:p>
        </w:tc>
        <w:tc>
          <w:tcPr>
            <w:tcW w:type="dxa" w:w="388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Độ bao phủ toàn bộ số trận đấu của mùa giải</w:t>
            </w:r>
          </w:p>
        </w:tc>
        <w:tc>
          <w:tcPr>
            <w:tcW w:type="dxa" w:w="1872"/>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380 / 380 trận</w:t>
            </w:r>
          </w:p>
        </w:tc>
        <w:tc>
          <w:tcPr>
            <w:tcW w:type="dxa" w:w="1296"/>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PASS</w:t>
            </w:r>
          </w:p>
        </w:tc>
      </w:tr>
      <w:tr>
        <w:tc>
          <w:tcPr>
            <w:tcW w:type="dxa" w:w="259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stratification_rate_balance</w:t>
            </w:r>
          </w:p>
        </w:tc>
        <w:tc>
          <w:tcPr>
            <w:tcW w:type="dxa" w:w="388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Độ lệch tỉ lệ nhãn dương lớn nhất giữa các tập (&lt; 2%)</w:t>
            </w:r>
          </w:p>
        </w:tc>
        <w:tc>
          <w:tcPr>
            <w:tcW w:type="dxa" w:w="187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0,0027 (0,27%)</w:t>
            </w:r>
          </w:p>
        </w:tc>
        <w:tc>
          <w:tcPr>
            <w:tcW w:type="dxa" w:w="1296"/>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PASS</w:t>
            </w:r>
          </w:p>
        </w:tc>
      </w:tr>
    </w:tbl>
    <w:p>
      <w:pPr>
        <w:spacing w:before="0" w:after="120"/>
      </w:pPr>
    </w:p>
    <w:tbl>
      <w:tblPr>
        <w:tblW w:type="auto" w:w="0"/>
        <w:jc w:val="center"/>
        <w:tblLayout w:type="fixed"/>
        <w:tblLook w:firstColumn="1" w:firstRow="1" w:lastColumn="0" w:lastRow="0" w:noHBand="0" w:noVBand="1" w:val="04A0"/>
      </w:tblPr>
      <w:tblGrid>
        <w:gridCol w:w="9749"/>
      </w:tblGrid>
      <w:tr>
        <w:tc>
          <w:tcPr>
            <w:tcW w:type="dxa" w:w="9792"/>
            <w:shd w:fill="F2F5F9"/>
            <w:tcBorders>
              <w:top w:val="none"/>
              <w:left w:val="single" w:sz="24" w:space="0" w:color="2E74B5"/>
              <w:bottom w:val="none"/>
              <w:right w:val="none"/>
            </w:tcBorders>
            <w:tcMar>
              <w:top w:w="140" w:type="dxa"/>
              <w:bottom w:w="140" w:type="dxa"/>
              <w:left w:w="180" w:type="dxa"/>
              <w:right w:w="180" w:type="dxa"/>
            </w:tcMar>
          </w:tcPr>
          <w:p>
            <w:pPr>
              <w:spacing w:line="300" w:lineRule="auto" w:before="40" w:after="40"/>
            </w:pPr>
            <w:r>
              <w:rPr>
                <w:rFonts w:ascii="Times New Roman" w:hAnsi="Times New Roman"/>
                <w:b/>
                <w:color w:val="1F4D78"/>
                <w:sz w:val="20"/>
              </w:rPr>
              <w:t xml:space="preserve">Đánh giá kết quả Bước 4: </w:t>
            </w:r>
            <w:r>
              <w:rPr>
                <w:rFonts w:ascii="Times New Roman" w:hAnsi="Times New Roman"/>
                <w:color w:val="000000"/>
                <w:sz w:val="20"/>
              </w:rPr>
              <w:t>Kết quả kiểm tra xác nhận 5/5 tiêu chí đều đạt chuẩn PASS. Độ lệch tỉ lệ nhãn dương tối đa giữa các tập chỉ là 0,27%, cho thấy dữ liệu được cân bằng hoàn hảo và không tồn tại bất kỳ hiện tượng rò rỉ dữ liệu nào giữa các tập.</w:t>
            </w:r>
          </w:p>
        </w:tc>
      </w:tr>
    </w:tbl>
    <w:p>
      <w:pPr>
        <w:spacing w:before="0" w:after="80"/>
      </w:pPr>
    </w:p>
    <w:p>
      <w:pPr>
        <w:keepNext/>
        <w:spacing w:before="280" w:after="120"/>
      </w:pPr>
      <w:r>
        <w:rPr>
          <w:rFonts w:ascii="Times New Roman" w:hAnsi="Times New Roman"/>
          <w:b/>
          <w:color w:val="2E74B5"/>
          <w:sz w:val="30"/>
        </w:rPr>
        <w:t>3. Chi tiết triển khai và Kết quả Bước [5] — Huấn luyện mô hình GNN (Bài toán 1 – Dự đoán)</w:t>
      </w:r>
    </w:p>
    <w:p>
      <w:pPr>
        <w:keepNext/>
        <w:spacing w:before="220" w:after="80"/>
      </w:pPr>
      <w:r>
        <w:rPr>
          <w:rFonts w:ascii="Times New Roman" w:hAnsi="Times New Roman"/>
          <w:b/>
          <w:color w:val="2E74B5"/>
          <w:sz w:val="25"/>
        </w:rPr>
        <w:t>3.1. Thiết kế không gian đặc trưng đồ thị (Graph Feature Representation)</w:t>
      </w:r>
    </w:p>
    <w:p>
      <w:pPr>
        <w:spacing w:after="120" w:before="0" w:line="300" w:lineRule="auto"/>
        <w:jc w:val="both"/>
      </w:pPr>
      <w:r>
        <w:rPr>
          <w:rFonts w:ascii="Times New Roman" w:hAnsi="Times New Roman"/>
          <w:color w:val="000000"/>
          <w:sz w:val="21"/>
        </w:rPr>
        <w:t>Để nắm bắt toàn diện cả yếu tố chiến thuật cá nhân lẫn động học không gian của pha bóng, nhóm đã thiết kế không gian đặc trưng đa chiều cho cả đỉnh (cầu thủ) và cạnh (đường chuyền):</w:t>
      </w:r>
    </w:p>
    <w:p>
      <w:pPr>
        <w:spacing w:after="120" w:before="0" w:line="300" w:lineRule="auto"/>
        <w:jc w:val="both"/>
      </w:pPr>
      <w:r>
        <w:rPr>
          <w:rFonts w:ascii="Times New Roman" w:hAnsi="Times New Roman"/>
          <w:b/>
          <w:color w:val="000000"/>
          <w:sz w:val="21"/>
        </w:rPr>
        <w:t xml:space="preserve">1. Không gian đặc trưng Đỉnh (Node Features — 8 chiều): </w:t>
      </w:r>
      <w:r>
        <w:rPr>
          <w:rFonts w:ascii="Times New Roman" w:hAnsi="Times New Roman"/>
          <w:color w:val="000000"/>
          <w:sz w:val="21"/>
        </w:rPr>
        <w:t>Bao gồm 8 đặc trưng kết hợp giữa vai trò thi đấu và vị trí không gian:</w:t>
        <w:br/>
        <w:t>• Tọa độ trung bình (x_mean, y_mean) của cầu thủ trên sân trong suốt pha bóng (chuẩn hóa về khoảng [0, 1]).</w:t>
        <w:br/>
        <w:t>• Vai trò thi đấu chính (tactical role) mã hóa one-hot 4 chiều: Goalkeeper (GK), Defender (DF), Midfielder (MF), Forward (FW).</w:t>
        <w:br/>
        <w:t>• Số lần chạm bóng / nhận bóng (touch count) của cầu thủ trong pha bóng (chuẩn hóa z-score).</w:t>
        <w:br/>
        <w:t>• Thứ tự chạm bóng đầu tiên trong chuỗi chuyền (sequence order), giúp mô hình nắm bắt cầu thủ khởi xướng pha tấn công.</w:t>
      </w:r>
    </w:p>
    <w:p>
      <w:pPr>
        <w:spacing w:after="120" w:before="0" w:line="300" w:lineRule="auto"/>
        <w:jc w:val="both"/>
      </w:pPr>
      <w:r>
        <w:rPr>
          <w:rFonts w:ascii="Times New Roman" w:hAnsi="Times New Roman"/>
          <w:b/>
          <w:color w:val="000000"/>
          <w:sz w:val="21"/>
        </w:rPr>
        <w:t xml:space="preserve">2. Không gian đặc trưng Cạnh (Edge Features — 12 chiều): </w:t>
      </w:r>
      <w:r>
        <w:rPr>
          <w:rFonts w:ascii="Times New Roman" w:hAnsi="Times New Roman"/>
          <w:color w:val="000000"/>
          <w:sz w:val="21"/>
        </w:rPr>
        <w:t>Bao gồm 12 đặc trưng hình học và thuộc tính kỹ thuật của đường chuyền:</w:t>
        <w:br/>
        <w:t>• Tọa độ điểm bắt đầu và điểm kết thúc của đường chuyền: (x_start, y_start, x_end, y_end) chuẩn hóa [0, 1].</w:t>
        <w:br/>
        <w:t>• Chiều dài đường chuyền (pass distance / length).</w:t>
        <w:br/>
        <w:t>• Góc chuyền bóng mã hóa liên tục: sin(angle) và cos(angle), tránh điểm gián đoạn biên góc.</w:t>
        <w:br/>
        <w:t>• Độ cao đường chuyền mã hóa one-hot 3 chiều: Ground Pass (bóng sệt), Low Pass (bóng tầm trung), High Pass (bóng bổng).</w:t>
        <w:br/>
        <w:t>• Thời điểm thực hiện đường chuyền (relative timestamp) tính từ đầu pha bóng, phản ánh nhịp độ tấn công.</w:t>
      </w:r>
    </w:p>
    <w:p>
      <w:pPr>
        <w:keepNext/>
        <w:spacing w:before="220" w:after="80"/>
      </w:pPr>
      <w:r>
        <w:rPr>
          <w:rFonts w:ascii="Times New Roman" w:hAnsi="Times New Roman"/>
          <w:b/>
          <w:color w:val="2E74B5"/>
          <w:sz w:val="25"/>
        </w:rPr>
        <w:t>3.2. Cấu trúc mạng và 4 kiến trúc GNN đã cài đặt</w:t>
      </w:r>
    </w:p>
    <w:p>
      <w:pPr>
        <w:spacing w:after="120" w:before="0" w:line="300" w:lineRule="auto"/>
        <w:jc w:val="both"/>
      </w:pPr>
      <w:r>
        <w:rPr>
          <w:rFonts w:ascii="Times New Roman" w:hAnsi="Times New Roman"/>
          <w:color w:val="000000"/>
          <w:sz w:val="21"/>
        </w:rPr>
        <w:t>Nhóm đã xây dựng hoàn chỉnh framework mô hình hóa trong module src/xai_football/modeling/gnn với 4 kiến trúc backbone:</w:t>
      </w:r>
    </w:p>
    <w:p>
      <w:pPr>
        <w:spacing w:after="120" w:before="0" w:line="300" w:lineRule="auto"/>
        <w:jc w:val="both"/>
      </w:pPr>
      <w:r>
        <w:rPr>
          <w:rFonts w:ascii="Times New Roman" w:hAnsi="Times New Roman"/>
          <w:b/>
          <w:color w:val="000000"/>
          <w:sz w:val="21"/>
        </w:rPr>
        <w:t xml:space="preserve">• MPNN (Message Passing Neural Network — Mô hình đề xuất chính): </w:t>
      </w:r>
      <w:r>
        <w:rPr>
          <w:rFonts w:ascii="Times New Roman" w:hAnsi="Times New Roman"/>
          <w:color w:val="000000"/>
          <w:sz w:val="21"/>
        </w:rPr>
        <w:t>Sử dụng lớp tích chập NNConv (Neural Network Convolution). Trong kiến trúc này, thông điệp truyền qua mỗi cạnh được điều kiện hóa trực tiếp bởi mạng nơ-ron MLP phụ nhận đầu vào là 12 đặc trưng cạnh. Điều này cho phép mô hình biến đổi thông tin trao đổi giữa hai cầu thủ phụ thuộc chính xác vào hướng, cự ly và độ cao của đường chuyền.</w:t>
      </w:r>
    </w:p>
    <w:p>
      <w:pPr>
        <w:spacing w:after="120" w:before="0" w:line="300" w:lineRule="auto"/>
        <w:jc w:val="both"/>
      </w:pPr>
      <w:r>
        <w:rPr>
          <w:rFonts w:ascii="Times New Roman" w:hAnsi="Times New Roman"/>
          <w:b/>
          <w:color w:val="000000"/>
          <w:sz w:val="21"/>
        </w:rPr>
        <w:t xml:space="preserve">• GCN (Graph Convolutional Network — Mô hình đề xuất cơ sở): </w:t>
      </w:r>
      <w:r>
        <w:rPr>
          <w:rFonts w:ascii="Times New Roman" w:hAnsi="Times New Roman"/>
          <w:color w:val="000000"/>
          <w:sz w:val="21"/>
        </w:rPr>
        <w:t>Kiến trúc tích chập đồ thị phổ biến dựa trên xấp xỉ quang phổ bậc 1. Mô hình tổng hợp đặc trưng của các cầu thủ lân cận kết hợp chuẩn hóa ma trận bậc liên kết đối xứng, không sử dụng thuộc tính cạnh.</w:t>
      </w:r>
    </w:p>
    <w:p>
      <w:pPr>
        <w:spacing w:after="120" w:before="0" w:line="300" w:lineRule="auto"/>
        <w:jc w:val="both"/>
      </w:pPr>
      <w:r>
        <w:rPr>
          <w:rFonts w:ascii="Times New Roman" w:hAnsi="Times New Roman"/>
          <w:b/>
          <w:color w:val="000000"/>
          <w:sz w:val="21"/>
        </w:rPr>
        <w:t xml:space="preserve">• GATv2 (Graph Attention Network v2 — Baseline Tầng 2): </w:t>
      </w:r>
      <w:r>
        <w:rPr>
          <w:rFonts w:ascii="Times New Roman" w:hAnsi="Times New Roman"/>
          <w:color w:val="000000"/>
          <w:sz w:val="21"/>
        </w:rPr>
        <w:t>Sử dụng cơ chế dynamic multi-head attention (4 heads). Mô hình tự động học trọng số chú ý giữa các cầu thủ tham gia chuyền bóng, khắc phục điểm nghẽn biểu diễn của GAT nguyên bản.</w:t>
      </w:r>
    </w:p>
    <w:p>
      <w:pPr>
        <w:spacing w:after="120" w:before="0" w:line="300" w:lineRule="auto"/>
        <w:jc w:val="both"/>
      </w:pPr>
      <w:r>
        <w:rPr>
          <w:rFonts w:ascii="Times New Roman" w:hAnsi="Times New Roman"/>
          <w:b/>
          <w:color w:val="000000"/>
          <w:sz w:val="21"/>
        </w:rPr>
        <w:t xml:space="preserve">• GraphSAGE (Baseline Tầng 2): </w:t>
      </w:r>
      <w:r>
        <w:rPr>
          <w:rFonts w:ascii="Times New Roman" w:hAnsi="Times New Roman"/>
          <w:color w:val="000000"/>
          <w:sz w:val="21"/>
        </w:rPr>
        <w:t>Đại diện cho hướng tiếp cận lấy mẫu và tổng hợp lân cận (sample-and-aggregate) với hàm tổng hợp Mean Aggregator.</w:t>
      </w:r>
    </w:p>
    <w:p>
      <w:pPr>
        <w:spacing w:after="120" w:before="0" w:line="300" w:lineRule="auto"/>
        <w:jc w:val="both"/>
      </w:pPr>
      <w:r>
        <w:rPr>
          <w:rFonts w:ascii="Times New Roman" w:hAnsi="Times New Roman"/>
          <w:b/>
          <w:color w:val="000000"/>
          <w:sz w:val="21"/>
        </w:rPr>
        <w:t xml:space="preserve">Lớp tổng hợp (Readout) và Đầu phân loại (Classification Head): </w:t>
      </w:r>
      <w:r>
        <w:rPr>
          <w:rFonts w:ascii="Times New Roman" w:hAnsi="Times New Roman"/>
          <w:color w:val="000000"/>
          <w:sz w:val="21"/>
        </w:rPr>
        <w:t>Để chuyển đổi biểu diễn từ cấp độ đỉnh sang cấp độ đồ thị phục vụ dự đoán nhãn cho toàn bộ pha bóng, sau các lớp tích chập GNN, mô hình sử dụng lớp GlobalReadout (Global Mean Pooling). Vector biểu diễn toàn pha bóng sau đó được đưa qua đầu phân loại BinaryClassifierHead (Linear 64 -&gt; BatchNorm1d -&gt; ReLU -&gt; Dropout 0,2 -&gt; Linear 1) để tạo ra logit dự đoán.</w:t>
      </w:r>
    </w:p>
    <w:p>
      <w:pPr>
        <w:keepNext/>
        <w:spacing w:before="220" w:after="80"/>
      </w:pPr>
      <w:r>
        <w:rPr>
          <w:rFonts w:ascii="Times New Roman" w:hAnsi="Times New Roman"/>
          <w:b/>
          <w:color w:val="2E74B5"/>
          <w:sz w:val="25"/>
        </w:rPr>
        <w:t>3.3. Chiến lược giải quyết mất cân bằng lớp và Thiết lập huấn luyện</w:t>
      </w:r>
    </w:p>
    <w:p>
      <w:pPr>
        <w:spacing w:after="120" w:before="0" w:line="300" w:lineRule="auto"/>
        <w:jc w:val="both"/>
      </w:pPr>
      <w:r>
        <w:rPr>
          <w:rFonts w:ascii="Times New Roman" w:hAnsi="Times New Roman"/>
          <w:color w:val="000000"/>
          <w:sz w:val="21"/>
        </w:rPr>
        <w:t>Dữ liệu tấn công bóng đá có đặc thù mất cân bằng lớp cao: chỉ có khoảng 13,68% pha bóng kết thúc bằng một cú sút (tỉ lệ mẫu âm / mẫu dương là 27.316 / 4.328 ≈ 6,31 : 1). Nếu sử dụng hàm mất mát BCE tiêu chuẩn, mô hình sẽ có xu hướng dự đoán toàn bộ nhãn 0 để đạt độ chính xác giả tạo.</w:t>
      </w:r>
    </w:p>
    <w:p>
      <w:pPr>
        <w:spacing w:after="120" w:before="0" w:line="300" w:lineRule="auto"/>
        <w:jc w:val="both"/>
      </w:pPr>
      <w:r>
        <w:rPr>
          <w:rFonts w:ascii="Times New Roman" w:hAnsi="Times New Roman"/>
          <w:b/>
          <w:color w:val="000000"/>
          <w:sz w:val="21"/>
        </w:rPr>
        <w:t xml:space="preserve">Giải pháp xử lý mất cân bằng: </w:t>
      </w:r>
      <w:r>
        <w:rPr>
          <w:rFonts w:ascii="Times New Roman" w:hAnsi="Times New Roman"/>
          <w:color w:val="000000"/>
          <w:sz w:val="21"/>
        </w:rPr>
        <w:t>Nhóm đã áp dụng hàm mất mát Weighted BCE With Logits Loss với trọng số dương pos_weight = 6,31. Trọng số này phạt nặng mô hình khi bỏ sót các pha bóng dẫn đến cú sút thực tế, buộc mô hình phải tập trung học các mẫu hình tấn công nguy hiểm.</w:t>
      </w:r>
    </w:p>
    <w:p>
      <w:pPr>
        <w:spacing w:after="120" w:before="0" w:line="300" w:lineRule="auto"/>
        <w:jc w:val="both"/>
      </w:pPr>
      <w:r>
        <w:rPr>
          <w:rFonts w:ascii="Times New Roman" w:hAnsi="Times New Roman"/>
          <w:b/>
          <w:color w:val="000000"/>
          <w:sz w:val="21"/>
        </w:rPr>
        <w:t xml:space="preserve">Cấu hình huấn luyện: </w:t>
      </w:r>
      <w:r>
        <w:rPr>
          <w:rFonts w:ascii="Times New Roman" w:hAnsi="Times New Roman"/>
          <w:color w:val="000000"/>
          <w:sz w:val="21"/>
        </w:rPr>
        <w:t>• Bộ tối ưu hóa: AdamW với learning rate khởi tạo = 0,001 và weight decay = 1e-4.</w:t>
        <w:br/>
        <w:t>• Lịch trình điều chỉnh learning rate: ReduceLROnPlateau với mode='max', factor=0,5, patience=5.</w:t>
        <w:br/>
        <w:t>• Tiêu chí dừng sớm (Early Stopping): Giám sát trực tiếp chỉ số AUC-PR trên tập Validation (patience=20 epochs), thay vì giám sát Validation Loss hay Accuracy. Điều này bảo đảm mô hình được chọn luôn tối ưu hóa khả năng nhận diện lớp thiểu số.</w:t>
        <w:br/>
        <w:t>• Lưu trữ trọng số: Tự động lưu checkpoint tốt nhất tại thư mục models/official/{backbone}_best.pt.</w:t>
      </w:r>
    </w:p>
    <w:p>
      <w:pPr>
        <w:keepNext/>
        <w:spacing w:before="280" w:after="120"/>
      </w:pPr>
      <w:r>
        <w:rPr>
          <w:rFonts w:ascii="Times New Roman" w:hAnsi="Times New Roman"/>
          <w:b/>
          <w:color w:val="2E74B5"/>
          <w:sz w:val="30"/>
        </w:rPr>
        <w:t>4. Chi tiết triển khai và Kết quả Bước [6] — Đánh giá mô hình &amp; Đối sánh 3 tầng</w:t>
      </w:r>
    </w:p>
    <w:p>
      <w:pPr>
        <w:keepNext/>
        <w:spacing w:before="220" w:after="80"/>
      </w:pPr>
      <w:r>
        <w:rPr>
          <w:rFonts w:ascii="Times New Roman" w:hAnsi="Times New Roman"/>
          <w:b/>
          <w:color w:val="2E74B5"/>
          <w:sz w:val="25"/>
        </w:rPr>
        <w:t>4.1. Hệ thống độ đo đánh giá đã cam kết</w:t>
      </w:r>
    </w:p>
    <w:p>
      <w:pPr>
        <w:spacing w:after="120" w:before="0" w:line="300" w:lineRule="auto"/>
        <w:jc w:val="both"/>
      </w:pPr>
      <w:r>
        <w:rPr>
          <w:rFonts w:ascii="Times New Roman" w:hAnsi="Times New Roman"/>
          <w:color w:val="000000"/>
          <w:sz w:val="21"/>
        </w:rPr>
        <w:t>Nhóm triển khai đánh giá mô hình trên tập kiểm tra độc lập (Test set) gồm 6.646 đồ thị của 57 trận đấu. Hệ thống độ đo đánh giá tuân thủ nghiêm ngặt theo đúng cam kết trong đề cương nghiên cứu:</w:t>
        <w:br/>
        <w:t>• AUC-PR (Area Under the Precision-Recall Curve): Độ đo quan trọng số một đối với bài toán mất cân bằng lớp, phản ánh chính xác chất lượng dự đoán trên lớp dương.</w:t>
        <w:br/>
        <w:t>• AUC-ROC: Đo lường năng lực phân tách tổng quát giữa hai lớp trên toàn bộ các ngưỡng xác suất.</w:t>
        <w:br/>
        <w:t>• F1-Score, Precision, Recall: Đánh giá tại ngưỡng quyết định tối ưu xác định từ tập Validation.</w:t>
        <w:br/>
        <w:t>• Brier Score: Độ đo đánh giá mức độ hiệu chuẩn xác suất (calibration score) — Brier Score càng thấp thì xác suất mô hình dự đoán càng sát với tần suất diễn ra thực tế của sự kiện.</w:t>
        <w:br/>
        <w:t>• Accuracy: Độ chính xác tổng thể (dùng làm chỉ số tham khảo, không dùng làm tiêu chí xếp hạng).</w:t>
      </w:r>
    </w:p>
    <w:p>
      <w:pPr>
        <w:keepNext/>
        <w:spacing w:before="220" w:after="80"/>
      </w:pPr>
      <w:r>
        <w:rPr>
          <w:rFonts w:ascii="Times New Roman" w:hAnsi="Times New Roman"/>
          <w:b/>
          <w:color w:val="2E74B5"/>
          <w:sz w:val="25"/>
        </w:rPr>
        <w:t>4.2. Bảng tổng hợp đối sánh hiệu năng trên tập Test (Tầng 2 &amp; Tầng 3a)</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886"/>
        <w:gridCol w:w="886"/>
        <w:gridCol w:w="886"/>
        <w:gridCol w:w="886"/>
        <w:gridCol w:w="886"/>
        <w:gridCol w:w="886"/>
        <w:gridCol w:w="886"/>
        <w:gridCol w:w="886"/>
        <w:gridCol w:w="886"/>
        <w:gridCol w:w="886"/>
        <w:gridCol w:w="886"/>
      </w:tblGrid>
      <w:tr>
        <w:trPr>
          <w:tblHeader/>
        </w:trPr>
        <w:tc>
          <w:tcPr>
            <w:tcW w:type="dxa" w:w="1728"/>
            <w:shd w:fill="2E74B5"/>
            <w:tcMar>
              <w:top w:w="120" w:type="dxa"/>
              <w:bottom w:w="120" w:type="dxa"/>
              <w:left w:w="120" w:type="dxa"/>
              <w:right w:w="120" w:type="dxa"/>
            </w:tcMar>
          </w:tcPr>
          <w:p>
            <w:pPr>
              <w:spacing w:before="0" w:after="0"/>
              <w:jc w:val="center"/>
            </w:pPr>
            <w:r>
              <w:rPr>
                <w:rFonts w:ascii="Times New Roman" w:hAnsi="Times New Roman"/>
                <w:b/>
                <w:color w:val="FFFFFF"/>
                <w:sz w:val="19"/>
              </w:rPr>
              <w:t>Mô hình</w:t>
            </w:r>
          </w:p>
        </w:tc>
        <w:tc>
          <w:tcPr>
            <w:tcW w:type="dxa" w:w="1584"/>
            <w:shd w:fill="2E74B5"/>
            <w:tcMar>
              <w:top w:w="120" w:type="dxa"/>
              <w:bottom w:w="120" w:type="dxa"/>
              <w:left w:w="120" w:type="dxa"/>
              <w:right w:w="120" w:type="dxa"/>
            </w:tcMar>
          </w:tcPr>
          <w:p>
            <w:pPr>
              <w:spacing w:before="0" w:after="0"/>
              <w:jc w:val="center"/>
            </w:pPr>
            <w:r>
              <w:rPr>
                <w:rFonts w:ascii="Times New Roman" w:hAnsi="Times New Roman"/>
                <w:b/>
                <w:color w:val="FFFFFF"/>
                <w:sz w:val="19"/>
              </w:rPr>
              <w:t>Tầng đối sánh</w:t>
            </w:r>
          </w:p>
        </w:tc>
        <w:tc>
          <w:tcPr>
            <w:tcW w:type="dxa" w:w="792"/>
            <w:shd w:fill="2E74B5"/>
            <w:tcMar>
              <w:top w:w="120" w:type="dxa"/>
              <w:bottom w:w="120" w:type="dxa"/>
              <w:left w:w="120" w:type="dxa"/>
              <w:right w:w="120" w:type="dxa"/>
            </w:tcMar>
          </w:tcPr>
          <w:p>
            <w:pPr>
              <w:spacing w:before="0" w:after="0"/>
              <w:jc w:val="center"/>
            </w:pPr>
            <w:r>
              <w:rPr>
                <w:rFonts w:ascii="Times New Roman" w:hAnsi="Times New Roman"/>
                <w:b/>
                <w:color w:val="FFFFFF"/>
                <w:sz w:val="19"/>
              </w:rPr>
              <w:t>Dữ liệu</w:t>
            </w:r>
          </w:p>
        </w:tc>
        <w:tc>
          <w:tcPr>
            <w:tcW w:type="dxa" w:w="792"/>
            <w:shd w:fill="2E74B5"/>
            <w:tcMar>
              <w:top w:w="120" w:type="dxa"/>
              <w:bottom w:w="120" w:type="dxa"/>
              <w:left w:w="120" w:type="dxa"/>
              <w:right w:w="120" w:type="dxa"/>
            </w:tcMar>
          </w:tcPr>
          <w:p>
            <w:pPr>
              <w:spacing w:before="0" w:after="0"/>
              <w:jc w:val="center"/>
            </w:pPr>
            <w:r>
              <w:rPr>
                <w:rFonts w:ascii="Times New Roman" w:hAnsi="Times New Roman"/>
                <w:b/>
                <w:color w:val="FFFFFF"/>
                <w:sz w:val="19"/>
              </w:rPr>
              <w:t>Accuracy</w:t>
            </w:r>
          </w:p>
        </w:tc>
        <w:tc>
          <w:tcPr>
            <w:tcW w:type="dxa" w:w="792"/>
            <w:shd w:fill="2E74B5"/>
            <w:tcMar>
              <w:top w:w="120" w:type="dxa"/>
              <w:bottom w:w="120" w:type="dxa"/>
              <w:left w:w="120" w:type="dxa"/>
              <w:right w:w="120" w:type="dxa"/>
            </w:tcMar>
          </w:tcPr>
          <w:p>
            <w:pPr>
              <w:spacing w:before="0" w:after="0"/>
              <w:jc w:val="center"/>
            </w:pPr>
            <w:r>
              <w:rPr>
                <w:rFonts w:ascii="Times New Roman" w:hAnsi="Times New Roman"/>
                <w:b/>
                <w:color w:val="FFFFFF"/>
                <w:sz w:val="19"/>
              </w:rPr>
              <w:t>Precision</w:t>
            </w:r>
          </w:p>
        </w:tc>
        <w:tc>
          <w:tcPr>
            <w:tcW w:type="dxa" w:w="792"/>
            <w:shd w:fill="2E74B5"/>
            <w:tcMar>
              <w:top w:w="120" w:type="dxa"/>
              <w:bottom w:w="120" w:type="dxa"/>
              <w:left w:w="120" w:type="dxa"/>
              <w:right w:w="120" w:type="dxa"/>
            </w:tcMar>
          </w:tcPr>
          <w:p>
            <w:pPr>
              <w:spacing w:before="0" w:after="0"/>
              <w:jc w:val="center"/>
            </w:pPr>
            <w:r>
              <w:rPr>
                <w:rFonts w:ascii="Times New Roman" w:hAnsi="Times New Roman"/>
                <w:b/>
                <w:color w:val="FFFFFF"/>
                <w:sz w:val="19"/>
              </w:rPr>
              <w:t>Recall</w:t>
            </w:r>
          </w:p>
        </w:tc>
        <w:tc>
          <w:tcPr>
            <w:tcW w:type="dxa" w:w="720"/>
            <w:shd w:fill="2E74B5"/>
            <w:tcMar>
              <w:top w:w="120" w:type="dxa"/>
              <w:bottom w:w="120" w:type="dxa"/>
              <w:left w:w="120" w:type="dxa"/>
              <w:right w:w="120" w:type="dxa"/>
            </w:tcMar>
          </w:tcPr>
          <w:p>
            <w:pPr>
              <w:spacing w:before="0" w:after="0"/>
              <w:jc w:val="center"/>
            </w:pPr>
            <w:r>
              <w:rPr>
                <w:rFonts w:ascii="Times New Roman" w:hAnsi="Times New Roman"/>
                <w:b/>
                <w:color w:val="FFFFFF"/>
                <w:sz w:val="19"/>
              </w:rPr>
              <w:t>F1</w:t>
            </w:r>
          </w:p>
        </w:tc>
        <w:tc>
          <w:tcPr>
            <w:tcW w:type="dxa" w:w="864"/>
            <w:shd w:fill="2E74B5"/>
            <w:tcMar>
              <w:top w:w="120" w:type="dxa"/>
              <w:bottom w:w="120" w:type="dxa"/>
              <w:left w:w="120" w:type="dxa"/>
              <w:right w:w="120" w:type="dxa"/>
            </w:tcMar>
          </w:tcPr>
          <w:p>
            <w:pPr>
              <w:spacing w:before="0" w:after="0"/>
              <w:jc w:val="center"/>
            </w:pPr>
            <w:r>
              <w:rPr>
                <w:rFonts w:ascii="Times New Roman" w:hAnsi="Times New Roman"/>
                <w:b/>
                <w:color w:val="FFFFFF"/>
                <w:sz w:val="19"/>
              </w:rPr>
              <w:t>AUC-ROC</w:t>
            </w:r>
          </w:p>
        </w:tc>
        <w:tc>
          <w:tcPr>
            <w:tcW w:type="dxa" w:w="864"/>
            <w:shd w:fill="2E74B5"/>
            <w:tcMar>
              <w:top w:w="120" w:type="dxa"/>
              <w:bottom w:w="120" w:type="dxa"/>
              <w:left w:w="120" w:type="dxa"/>
              <w:right w:w="120" w:type="dxa"/>
            </w:tcMar>
          </w:tcPr>
          <w:p>
            <w:pPr>
              <w:spacing w:before="0" w:after="0"/>
              <w:jc w:val="center"/>
            </w:pPr>
            <w:r>
              <w:rPr>
                <w:rFonts w:ascii="Times New Roman" w:hAnsi="Times New Roman"/>
                <w:b/>
                <w:color w:val="FFFFFF"/>
                <w:sz w:val="19"/>
              </w:rPr>
              <w:t>AUC-PR</w:t>
            </w:r>
          </w:p>
        </w:tc>
        <w:tc>
          <w:tcPr>
            <w:tcW w:type="dxa" w:w="720"/>
            <w:shd w:fill="2E74B5"/>
            <w:tcMar>
              <w:top w:w="120" w:type="dxa"/>
              <w:bottom w:w="120" w:type="dxa"/>
              <w:left w:w="120" w:type="dxa"/>
              <w:right w:w="120" w:type="dxa"/>
            </w:tcMar>
          </w:tcPr>
          <w:p>
            <w:pPr>
              <w:spacing w:before="0" w:after="0"/>
              <w:jc w:val="center"/>
            </w:pPr>
            <w:r>
              <w:rPr>
                <w:rFonts w:ascii="Times New Roman" w:hAnsi="Times New Roman"/>
                <w:b/>
                <w:color w:val="FFFFFF"/>
                <w:sz w:val="19"/>
              </w:rPr>
              <w:t>Brier</w:t>
            </w:r>
          </w:p>
        </w:tc>
        <w:tc>
          <w:tcPr>
            <w:tcW w:type="dxa" w:w="792"/>
            <w:shd w:fill="2E74B5"/>
            <w:tcMar>
              <w:top w:w="120" w:type="dxa"/>
              <w:bottom w:w="120" w:type="dxa"/>
              <w:left w:w="120" w:type="dxa"/>
              <w:right w:w="120" w:type="dxa"/>
            </w:tcMar>
          </w:tcPr>
          <w:p>
            <w:pPr>
              <w:spacing w:before="0" w:after="0"/>
              <w:jc w:val="center"/>
            </w:pPr>
            <w:r>
              <w:rPr>
                <w:rFonts w:ascii="Times New Roman" w:hAnsi="Times New Roman"/>
                <w:b/>
                <w:color w:val="FFFFFF"/>
                <w:sz w:val="19"/>
              </w:rPr>
              <w:t>Test Loss</w:t>
            </w:r>
          </w:p>
        </w:tc>
      </w:tr>
      <w:tr>
        <w:tc>
          <w:tcPr>
            <w:tcW w:type="dxa" w:w="1728"/>
            <w:shd w:fill="EBF1F5"/>
            <w:tcMar>
              <w:top w:w="90" w:type="dxa"/>
              <w:bottom w:w="90" w:type="dxa"/>
              <w:left w:w="120" w:type="dxa"/>
              <w:right w:w="120" w:type="dxa"/>
            </w:tcMar>
          </w:tcPr>
          <w:p>
            <w:pPr>
              <w:spacing w:before="0" w:after="0" w:line="276" w:lineRule="auto"/>
              <w:jc w:val="left"/>
            </w:pPr>
            <w:r>
              <w:rPr>
                <w:rFonts w:ascii="Times New Roman" w:hAnsi="Times New Roman"/>
                <w:b/>
                <w:color w:val="1F4D78"/>
                <w:sz w:val="19"/>
              </w:rPr>
              <w:t>MPNN (đề xuất)</w:t>
            </w:r>
          </w:p>
        </w:tc>
        <w:tc>
          <w:tcPr>
            <w:tcW w:type="dxa" w:w="1584"/>
            <w:shd w:fill="EBF1F5"/>
            <w:tcMar>
              <w:top w:w="90" w:type="dxa"/>
              <w:bottom w:w="90" w:type="dxa"/>
              <w:left w:w="120" w:type="dxa"/>
              <w:right w:w="120" w:type="dxa"/>
            </w:tcMar>
          </w:tcPr>
          <w:p>
            <w:pPr>
              <w:spacing w:before="0" w:after="0" w:line="276" w:lineRule="auto"/>
              <w:jc w:val="left"/>
            </w:pPr>
            <w:r>
              <w:rPr>
                <w:rFonts w:ascii="Times New Roman" w:hAnsi="Times New Roman"/>
                <w:b/>
                <w:color w:val="1F4D78"/>
                <w:sz w:val="19"/>
              </w:rPr>
              <w:t>Tier 2 — GNN</w:t>
            </w:r>
          </w:p>
        </w:tc>
        <w:tc>
          <w:tcPr>
            <w:tcW w:type="dxa" w:w="792"/>
            <w:shd w:fill="EBF1F5"/>
            <w:tcMar>
              <w:top w:w="90" w:type="dxa"/>
              <w:bottom w:w="90" w:type="dxa"/>
              <w:left w:w="120" w:type="dxa"/>
              <w:right w:w="120" w:type="dxa"/>
            </w:tcMar>
          </w:tcPr>
          <w:p>
            <w:pPr>
              <w:spacing w:before="0" w:after="0" w:line="276" w:lineRule="auto"/>
              <w:jc w:val="center"/>
            </w:pPr>
            <w:r>
              <w:rPr>
                <w:rFonts w:ascii="Times New Roman" w:hAnsi="Times New Roman"/>
                <w:b/>
                <w:color w:val="1F4D78"/>
                <w:sz w:val="19"/>
              </w:rPr>
              <w:t>Đồ thị</w:t>
            </w:r>
          </w:p>
        </w:tc>
        <w:tc>
          <w:tcPr>
            <w:tcW w:type="dxa" w:w="792"/>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0,8471</w:t>
            </w:r>
          </w:p>
        </w:tc>
        <w:tc>
          <w:tcPr>
            <w:tcW w:type="dxa" w:w="792"/>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0,4630</w:t>
            </w:r>
          </w:p>
        </w:tc>
        <w:tc>
          <w:tcPr>
            <w:tcW w:type="dxa" w:w="792"/>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0,6678</w:t>
            </w:r>
          </w:p>
        </w:tc>
        <w:tc>
          <w:tcPr>
            <w:tcW w:type="dxa" w:w="720"/>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0,5468</w:t>
            </w:r>
          </w:p>
        </w:tc>
        <w:tc>
          <w:tcPr>
            <w:tcW w:type="dxa" w:w="864"/>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0,8732</w:t>
            </w:r>
          </w:p>
        </w:tc>
        <w:tc>
          <w:tcPr>
            <w:tcW w:type="dxa" w:w="864"/>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0,5747</w:t>
            </w:r>
          </w:p>
        </w:tc>
        <w:tc>
          <w:tcPr>
            <w:tcW w:type="dxa" w:w="720"/>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0,1040</w:t>
            </w:r>
          </w:p>
        </w:tc>
        <w:tc>
          <w:tcPr>
            <w:tcW w:type="dxa" w:w="792"/>
            <w:shd w:fill="EBF1F5"/>
            <w:tcMar>
              <w:top w:w="90" w:type="dxa"/>
              <w:bottom w:w="90" w:type="dxa"/>
              <w:left w:w="120" w:type="dxa"/>
              <w:right w:w="120" w:type="dxa"/>
            </w:tcMar>
          </w:tcPr>
          <w:p>
            <w:pPr>
              <w:spacing w:before="0" w:after="0" w:line="276" w:lineRule="auto"/>
              <w:jc w:val="right"/>
            </w:pPr>
            <w:r>
              <w:rPr>
                <w:rFonts w:ascii="Times New Roman" w:hAnsi="Times New Roman"/>
                <w:b/>
                <w:color w:val="1F4D78"/>
                <w:sz w:val="19"/>
              </w:rPr>
              <w:t>0,8365</w:t>
            </w:r>
          </w:p>
        </w:tc>
      </w:tr>
      <w:tr>
        <w:tc>
          <w:tcPr>
            <w:tcW w:type="dxa" w:w="172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GCN (đề xuất)</w:t>
            </w:r>
          </w:p>
        </w:tc>
        <w:tc>
          <w:tcPr>
            <w:tcW w:type="dxa" w:w="1584"/>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Tier 2 — GNN</w:t>
            </w:r>
          </w:p>
        </w:tc>
        <w:tc>
          <w:tcPr>
            <w:tcW w:type="dxa" w:w="792"/>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Đồ thị</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0,6806</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0,2680</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0,7582</w:t>
            </w:r>
          </w:p>
        </w:tc>
        <w:tc>
          <w:tcPr>
            <w:tcW w:type="dxa" w:w="72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0,3960</w:t>
            </w:r>
          </w:p>
        </w:tc>
        <w:tc>
          <w:tcPr>
            <w:tcW w:type="dxa" w:w="86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0,7769</w:t>
            </w:r>
          </w:p>
        </w:tc>
        <w:tc>
          <w:tcPr>
            <w:tcW w:type="dxa" w:w="86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0,3261</w:t>
            </w:r>
          </w:p>
        </w:tc>
        <w:tc>
          <w:tcPr>
            <w:tcW w:type="dxa" w:w="72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0,1885</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0,9760</w:t>
            </w:r>
          </w:p>
        </w:tc>
      </w:tr>
      <w:tr>
        <w:tc>
          <w:tcPr>
            <w:tcW w:type="dxa" w:w="172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GATv2 (baseline)</w:t>
            </w:r>
          </w:p>
        </w:tc>
        <w:tc>
          <w:tcPr>
            <w:tcW w:type="dxa" w:w="1584"/>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Tier 2 — GNN</w:t>
            </w:r>
          </w:p>
        </w:tc>
        <w:tc>
          <w:tcPr>
            <w:tcW w:type="dxa" w:w="79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Đồ thị</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0,6750</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0,2561</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0,7102</w:t>
            </w:r>
          </w:p>
        </w:tc>
        <w:tc>
          <w:tcPr>
            <w:tcW w:type="dxa" w:w="72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0,3764</w:t>
            </w:r>
          </w:p>
        </w:tc>
        <w:tc>
          <w:tcPr>
            <w:tcW w:type="dxa" w:w="86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0,7526</w:t>
            </w:r>
          </w:p>
        </w:tc>
        <w:tc>
          <w:tcPr>
            <w:tcW w:type="dxa" w:w="86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0,2983</w:t>
            </w:r>
          </w:p>
        </w:tc>
        <w:tc>
          <w:tcPr>
            <w:tcW w:type="dxa" w:w="72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0,1842</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1,0177</w:t>
            </w:r>
          </w:p>
        </w:tc>
      </w:tr>
      <w:tr>
        <w:tc>
          <w:tcPr>
            <w:tcW w:type="dxa" w:w="172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GraphSAGE (baseline)</w:t>
            </w:r>
          </w:p>
        </w:tc>
        <w:tc>
          <w:tcPr>
            <w:tcW w:type="dxa" w:w="1584"/>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Tier 2 — GNN</w:t>
            </w:r>
          </w:p>
        </w:tc>
        <w:tc>
          <w:tcPr>
            <w:tcW w:type="dxa" w:w="792"/>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Đồ thị</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0,6031</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0,2433</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0,8878</w:t>
            </w:r>
          </w:p>
        </w:tc>
        <w:tc>
          <w:tcPr>
            <w:tcW w:type="dxa" w:w="72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0,3819</w:t>
            </w:r>
          </w:p>
        </w:tc>
        <w:tc>
          <w:tcPr>
            <w:tcW w:type="dxa" w:w="86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0,8017</w:t>
            </w:r>
          </w:p>
        </w:tc>
        <w:tc>
          <w:tcPr>
            <w:tcW w:type="dxa" w:w="86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0,3763</w:t>
            </w:r>
          </w:p>
        </w:tc>
        <w:tc>
          <w:tcPr>
            <w:tcW w:type="dxa" w:w="72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0,2312</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0,9432</w:t>
            </w:r>
          </w:p>
        </w:tc>
      </w:tr>
      <w:tr>
        <w:tc>
          <w:tcPr>
            <w:tcW w:type="dxa" w:w="172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Logistic Regression</w:t>
            </w:r>
          </w:p>
        </w:tc>
        <w:tc>
          <w:tcPr>
            <w:tcW w:type="dxa" w:w="1584"/>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Tier 3(a) — Phi đồ thị</w:t>
            </w:r>
          </w:p>
        </w:tc>
        <w:tc>
          <w:tcPr>
            <w:tcW w:type="dxa" w:w="79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Bảng</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0,7084</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0,3019</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0,8464</w:t>
            </w:r>
          </w:p>
        </w:tc>
        <w:tc>
          <w:tcPr>
            <w:tcW w:type="dxa" w:w="72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0,4450</w:t>
            </w:r>
          </w:p>
        </w:tc>
        <w:tc>
          <w:tcPr>
            <w:tcW w:type="dxa" w:w="86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0,8221</w:t>
            </w:r>
          </w:p>
        </w:tc>
        <w:tc>
          <w:tcPr>
            <w:tcW w:type="dxa" w:w="86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0,3379</w:t>
            </w:r>
          </w:p>
        </w:tc>
        <w:tc>
          <w:tcPr>
            <w:tcW w:type="dxa" w:w="72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0,1847</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w:t>
            </w:r>
          </w:p>
        </w:tc>
      </w:tr>
      <w:tr>
        <w:tc>
          <w:tcPr>
            <w:tcW w:type="dxa" w:w="172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Random Forest</w:t>
            </w:r>
          </w:p>
        </w:tc>
        <w:tc>
          <w:tcPr>
            <w:tcW w:type="dxa" w:w="1584"/>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Tier 3(a) — Phi đồ thị</w:t>
            </w:r>
          </w:p>
        </w:tc>
        <w:tc>
          <w:tcPr>
            <w:tcW w:type="dxa" w:w="792"/>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Bảng</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0,8834</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0,5702</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0,6329</w:t>
            </w:r>
          </w:p>
        </w:tc>
        <w:tc>
          <w:tcPr>
            <w:tcW w:type="dxa" w:w="72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0,5999</w:t>
            </w:r>
          </w:p>
        </w:tc>
        <w:tc>
          <w:tcPr>
            <w:tcW w:type="dxa" w:w="86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0,8844</w:t>
            </w:r>
          </w:p>
        </w:tc>
        <w:tc>
          <w:tcPr>
            <w:tcW w:type="dxa" w:w="864"/>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0,6234</w:t>
            </w:r>
          </w:p>
        </w:tc>
        <w:tc>
          <w:tcPr>
            <w:tcW w:type="dxa" w:w="720"/>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0,0870</w:t>
            </w:r>
          </w:p>
        </w:tc>
        <w:tc>
          <w:tcPr>
            <w:tcW w:type="dxa" w:w="792"/>
            <w:shd w:fill="F9FAFC"/>
            <w:tcMar>
              <w:top w:w="90" w:type="dxa"/>
              <w:bottom w:w="90" w:type="dxa"/>
              <w:left w:w="120" w:type="dxa"/>
              <w:right w:w="120" w:type="dxa"/>
            </w:tcMar>
          </w:tcPr>
          <w:p>
            <w:pPr>
              <w:spacing w:before="0" w:after="0" w:line="276" w:lineRule="auto"/>
              <w:jc w:val="right"/>
            </w:pPr>
            <w:r>
              <w:rPr>
                <w:rFonts w:ascii="Times New Roman" w:hAnsi="Times New Roman"/>
                <w:color w:val="000000"/>
                <w:sz w:val="19"/>
              </w:rPr>
              <w:t>—</w:t>
            </w:r>
          </w:p>
        </w:tc>
      </w:tr>
      <w:tr>
        <w:tc>
          <w:tcPr>
            <w:tcW w:type="dxa" w:w="172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ANN (MLP)</w:t>
            </w:r>
          </w:p>
        </w:tc>
        <w:tc>
          <w:tcPr>
            <w:tcW w:type="dxa" w:w="1584"/>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Tier 3(a) — Phi đồ thị</w:t>
            </w:r>
          </w:p>
        </w:tc>
        <w:tc>
          <w:tcPr>
            <w:tcW w:type="dxa" w:w="792"/>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Bảng</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0,8945</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0,6770</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0,4521</w:t>
            </w:r>
          </w:p>
        </w:tc>
        <w:tc>
          <w:tcPr>
            <w:tcW w:type="dxa" w:w="72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0,5421</w:t>
            </w:r>
          </w:p>
        </w:tc>
        <w:tc>
          <w:tcPr>
            <w:tcW w:type="dxa" w:w="86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0,8831</w:t>
            </w:r>
          </w:p>
        </w:tc>
        <w:tc>
          <w:tcPr>
            <w:tcW w:type="dxa" w:w="864"/>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0,6141</w:t>
            </w:r>
          </w:p>
        </w:tc>
        <w:tc>
          <w:tcPr>
            <w:tcW w:type="dxa" w:w="720"/>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0,0782</w:t>
            </w:r>
          </w:p>
        </w:tc>
        <w:tc>
          <w:tcPr>
            <w:tcW w:type="dxa" w:w="792"/>
            <w:shd w:fill="FFFFFF"/>
            <w:tcMar>
              <w:top w:w="90" w:type="dxa"/>
              <w:bottom w:w="90" w:type="dxa"/>
              <w:left w:w="120" w:type="dxa"/>
              <w:right w:w="120" w:type="dxa"/>
            </w:tcMar>
          </w:tcPr>
          <w:p>
            <w:pPr>
              <w:spacing w:before="0" w:after="0" w:line="276" w:lineRule="auto"/>
              <w:jc w:val="right"/>
            </w:pPr>
            <w:r>
              <w:rPr>
                <w:rFonts w:ascii="Times New Roman" w:hAnsi="Times New Roman"/>
                <w:color w:val="000000"/>
                <w:sz w:val="19"/>
              </w:rPr>
              <w:t>—</w:t>
            </w:r>
          </w:p>
        </w:tc>
      </w:tr>
    </w:tbl>
    <w:p>
      <w:pPr>
        <w:spacing w:before="0" w:after="120"/>
      </w:pPr>
    </w:p>
    <w:p>
      <w:pPr>
        <w:keepNext/>
        <w:spacing w:before="220" w:after="80"/>
      </w:pPr>
      <w:r>
        <w:rPr>
          <w:rFonts w:ascii="Times New Roman" w:hAnsi="Times New Roman"/>
          <w:b/>
          <w:color w:val="2E74B5"/>
          <w:sz w:val="25"/>
        </w:rPr>
        <w:t>4.3. Phân tích kết quả thực nghiệm và Luận giải học thuật</w:t>
      </w:r>
    </w:p>
    <w:p>
      <w:pPr>
        <w:spacing w:after="120" w:before="0" w:line="300" w:lineRule="auto"/>
        <w:jc w:val="both"/>
      </w:pPr>
      <w:r>
        <w:rPr>
          <w:rFonts w:ascii="Times New Roman" w:hAnsi="Times New Roman"/>
          <w:b/>
          <w:color w:val="000000"/>
          <w:sz w:val="21"/>
        </w:rPr>
        <w:t xml:space="preserve">1. Phân tích Tầng 2 (Sự vượt trội của MPNN trong nhóm GNN Backbone): </w:t>
      </w:r>
      <w:r>
        <w:rPr>
          <w:rFonts w:ascii="Times New Roman" w:hAnsi="Times New Roman"/>
          <w:color w:val="000000"/>
          <w:sz w:val="21"/>
        </w:rPr>
        <w:t>Trong nhóm các kiến trúc GNN (Tầng 2), mô hình MPNN do nhóm đề xuất đạt hiệu năng vượt trội toàn diện trên tất cả các độ đo trọng yếu:</w:t>
        <w:br/>
        <w:t>• AUC-PR của MPNN đạt 0,5747, vượt xa GCN (0,3261 — tăng +76,2%), GATv2 (0,2983 — tăng +92,7%) và GraphSAGE (0,3763 — tăng +52,7%).</w:t>
        <w:br/>
        <w:t>• Brier Score của MPNN đạt 0,1040, thể hiện mức độ hiệu chuẩn xác suất vượt trội (gần như tương đương các mô hình phân loại xác suất mạnh nhất).</w:t>
        <w:br/>
        <w:t>• Luận giải bóng đá &amp; cấu trúc mạng: Các mô hình GCN, GATv2 và GraphSAGE chỉ truyền tin dựa trên liên kết topology và thuộc tính đỉnh, hoàn toàn bỏ qua đặc trưng cạnh. Trong khi đó, trong bóng đá, giá trị của một đường chuyền phụ thuộc mang tính quyết định vào tọa độ không gian (chuyền vào vòng cấm hay chuyền về sân nhà), cự ly chuyền và độ cao. MPNN sử dụng mạng nơ-ron điều kiện hóa thông điệp bởi 12 đặc trưng cạnh (NNConv), nhờ đó mô hình nắm bắt được hình học không gian của pha bóng một cách tự nhiên. Kết quả này chứng minh tính đúng đắn của giả thuyết nghiên cứu ban đầu.</w:t>
      </w:r>
    </w:p>
    <w:p>
      <w:pPr>
        <w:spacing w:after="120" w:before="0" w:line="300" w:lineRule="auto"/>
        <w:jc w:val="both"/>
      </w:pPr>
      <w:r>
        <w:rPr>
          <w:rFonts w:ascii="Times New Roman" w:hAnsi="Times New Roman"/>
          <w:b/>
          <w:color w:val="000000"/>
          <w:sz w:val="21"/>
        </w:rPr>
        <w:t xml:space="preserve">2. Phân tích Tầng 3(a) (Đối sánh Đồ thị vs Phi đồ thị): </w:t>
      </w:r>
      <w:r>
        <w:rPr>
          <w:rFonts w:ascii="Times New Roman" w:hAnsi="Times New Roman"/>
          <w:color w:val="000000"/>
          <w:sz w:val="21"/>
        </w:rPr>
        <w:t>Các mô hình baseline phi đồ thị (Random Forest, ANN) đạt AUC-PR cao (0,61 – 0,62) nhờ việc sử dụng 16 đặc trưng dạng bảng đã được tiền xử lý và tổng hợp toàn cục (ví dụ: tọa độ kết thúc pha bóng, cự ly tới tâm khung thành, tổng thời gian kiểm soát bóng). MPNN bám rất sát hiệu năng này (AUC-ROC 0,8732 so với 0,8844 của Random Forest; AUC-PR 0,5747 so với 0,6234).</w:t>
        <w:br/>
        <w:t>• Điểm mấu chốt để bảo vệ trước hội đồng: Mặc dù Random Forest có AUC-PR nhỉnh hơn, nhưng mô hình dạng bảng nén toàn bộ pha bóng thành một vector phẳng (flat vector), hoàn toàn triệt tiêu cấu trúc liên kết mạng chuyền giữa các cầu thủ. Do đó, mô hình dạng bảng KHÔNG THỂ giải thích được đường chuyền nào hoặc cầu thủ nào là mắt xích quyết định trong pha phối hợp, và KHÔNG THỂ áp dụng các giải thuật XAI đồ thị (GNNExplainer, PGExplainer) để trích xuất subgraph quan trọng hay tính chỉ số Hybrid Centrality. MPNN là mô hình duy nhất vừa đạt hiệu năng dự đoán cao tiệm cận baseline dạng bảng, vừa bảo toàn 100% cấu trúc mạng để phục vụ Bài toán 2.</w:t>
      </w:r>
    </w:p>
    <w:p>
      <w:pPr>
        <w:spacing w:after="120" w:before="0" w:line="300" w:lineRule="auto"/>
        <w:jc w:val="both"/>
      </w:pPr>
      <w:r>
        <w:rPr>
          <w:rFonts w:ascii="Times New Roman" w:hAnsi="Times New Roman"/>
          <w:b/>
          <w:color w:val="000000"/>
          <w:sz w:val="21"/>
        </w:rPr>
        <w:t xml:space="preserve">3. Quyết định lựa chọn mô hình chính thức cho Bước [7]: </w:t>
      </w:r>
      <w:r>
        <w:rPr>
          <w:rFonts w:ascii="Times New Roman" w:hAnsi="Times New Roman"/>
          <w:color w:val="000000"/>
          <w:sz w:val="21"/>
        </w:rPr>
        <w:t>Tuân thủ nghiêm ngặt nguyên tắc phương pháp luận: mô hình chính thức chuyển sang giai đoạn XAI phải được lựa chọn dựa trên hiệu năng trên tập Validation, tuyệt đối không nhìn trước kết quả tập Test.</w:t>
        <w:br/>
        <w:t>Trên tập Validation, MPNN đạt Val AUC-PR cao nhất (0,5831), vượt trội so với tất cả các backbone GNN khác. Do đó, MPNN được lựa chọn làm mô hình GNN chính thức đại diện cho đề tài để chuyển giao sang bước áp dụng XAI ở tuần kế tiếp.</w:t>
      </w:r>
    </w:p>
    <w:tbl>
      <w:tblPr>
        <w:tblW w:type="auto" w:w="0"/>
        <w:jc w:val="center"/>
        <w:tblLayout w:type="fixed"/>
        <w:tblLook w:firstColumn="1" w:firstRow="1" w:lastColumn="0" w:lastRow="0" w:noHBand="0" w:noVBand="1" w:val="04A0"/>
      </w:tblPr>
      <w:tblGrid>
        <w:gridCol w:w="9749"/>
      </w:tblGrid>
      <w:tr>
        <w:tc>
          <w:tcPr>
            <w:tcW w:type="dxa" w:w="9792"/>
            <w:shd w:fill="F2F5F9"/>
            <w:tcBorders>
              <w:top w:val="none"/>
              <w:left w:val="single" w:sz="24" w:space="0" w:color="2E74B5"/>
              <w:bottom w:val="none"/>
              <w:right w:val="none"/>
            </w:tcBorders>
            <w:tcMar>
              <w:top w:w="140" w:type="dxa"/>
              <w:bottom w:w="140" w:type="dxa"/>
              <w:left w:w="180" w:type="dxa"/>
              <w:right w:w="180" w:type="dxa"/>
            </w:tcMar>
          </w:tcPr>
          <w:p>
            <w:pPr>
              <w:spacing w:line="300" w:lineRule="auto" w:before="40" w:after="40"/>
            </w:pPr>
            <w:r>
              <w:rPr>
                <w:rFonts w:ascii="Times New Roman" w:hAnsi="Times New Roman"/>
                <w:b/>
                <w:color w:val="1F4D78"/>
                <w:sz w:val="20"/>
              </w:rPr>
              <w:t xml:space="preserve">Kết luận đánh giá Bài toán 1: </w:t>
            </w:r>
            <w:r>
              <w:rPr>
                <w:rFonts w:ascii="Times New Roman" w:hAnsi="Times New Roman"/>
                <w:color w:val="000000"/>
                <w:sz w:val="20"/>
              </w:rPr>
              <w:t>MPNN được xác nhận là backbone dự đoán chính thức của đề tài nhờ thỏa mãn đồng thời hai điều kiện cốt lõi: (1) Đạt hiệu năng dự đoán và hiệu chuẩn cao nhất trong nhóm GNN (AUC-ROC: 0,8732; AUC-PR: 0,5747; Brier: 0,1040); và (2) Lưu giữ trọn vẹn đặc trưng cạnh không gian-thời gian để cung cấp đầu vào cho các giải thuật XAI giải thích ở mức đường chuyền.</w:t>
            </w:r>
          </w:p>
        </w:tc>
      </w:tr>
    </w:tbl>
    <w:p>
      <w:pPr>
        <w:spacing w:before="0" w:after="80"/>
      </w:pPr>
    </w:p>
    <w:p>
      <w:pPr>
        <w:keepNext/>
        <w:spacing w:before="280" w:after="120"/>
      </w:pPr>
      <w:r>
        <w:rPr>
          <w:rFonts w:ascii="Times New Roman" w:hAnsi="Times New Roman"/>
          <w:b/>
          <w:color w:val="2E74B5"/>
          <w:sz w:val="30"/>
        </w:rPr>
        <w:t>5. Kế hoạch triển khai tuần tiếp theo (Tuần 12/10 – 18/10/2026)</w:t>
      </w:r>
    </w:p>
    <w:p>
      <w:pPr>
        <w:spacing w:after="120" w:before="0" w:line="300" w:lineRule="auto"/>
        <w:jc w:val="both"/>
      </w:pPr>
      <w:r>
        <w:rPr>
          <w:rFonts w:ascii="Times New Roman" w:hAnsi="Times New Roman"/>
          <w:color w:val="000000"/>
          <w:sz w:val="21"/>
        </w:rPr>
        <w:t>Sau khi đã hoàn tất trọn vẹn và vững chắc Bài toán 1 (Bài toán Dự đoán) với mô hình MPNN đã được tối ưu hóa, nhóm sẽ chính thức bước vào nhánh nghiên cứu cốt lõi thứ hai: Bài toán 2 – Giải thích (XAI Task):</w:t>
      </w:r>
    </w:p>
    <w:p>
      <w:pPr>
        <w:spacing w:after="120" w:before="0" w:line="300" w:lineRule="auto"/>
        <w:jc w:val="both"/>
      </w:pPr>
      <w:r>
        <w:rPr>
          <w:rFonts w:ascii="Times New Roman" w:hAnsi="Times New Roman"/>
          <w:b/>
          <w:color w:val="000000"/>
          <w:sz w:val="21"/>
        </w:rPr>
        <w:t xml:space="preserve">1. Bước [7] — Áp dụng XAI trên mô hình MPNN đã huấn luyện: </w:t>
      </w:r>
      <w:r>
        <w:rPr>
          <w:rFonts w:ascii="Times New Roman" w:hAnsi="Times New Roman"/>
          <w:color w:val="000000"/>
          <w:sz w:val="21"/>
        </w:rPr>
        <w:t>• Triển khai thuật toán GNNExplainer: Tối ưu hóa mặt nạ cạnh (edge mask) và mặt nạ nút (node feature mask) cho từng pha bóng cụ thể (instance-level explanation), xác định tập hợp đường chuyền và cầu thủ đóng góp lớn nhất vào xác suất tạo ra cú sút.</w:t>
        <w:br/>
        <w:t>• Triển khai thuật toán PGExplainer: Huấn luyện một mạng nơ-ron tham số hóa (parameterized explainer) học mẫu hình giải thích chung trên toàn bộ tập dữ liệu, cho phép suy luận giải thích nhanh và khái quát hóa cao.</w:t>
        <w:br/>
        <w:t>• Đối sánh nội bộ hai phương pháp XAI: Thực hiện đúng cam kết Tầng 3(b) (đối sánh GNNExplainer vs PGExplainer) trên bộ dữ liệu kiểm tra.</w:t>
      </w:r>
    </w:p>
    <w:p>
      <w:pPr>
        <w:spacing w:after="120" w:before="0" w:line="300" w:lineRule="auto"/>
        <w:jc w:val="both"/>
      </w:pPr>
      <w:r>
        <w:rPr>
          <w:rFonts w:ascii="Times New Roman" w:hAnsi="Times New Roman"/>
          <w:b/>
          <w:color w:val="000000"/>
          <w:sz w:val="21"/>
        </w:rPr>
        <w:t xml:space="preserve">2. Bước [8] — Đánh giá chất lượng XAI: </w:t>
      </w:r>
      <w:r>
        <w:rPr>
          <w:rFonts w:ascii="Times New Roman" w:hAnsi="Times New Roman"/>
          <w:color w:val="000000"/>
          <w:sz w:val="21"/>
        </w:rPr>
        <w:t>• Đánh giá định lượng chất lượng giải thích của hai phương pháp bằng bộ độ đo chuẩn hóa trong tài liệu khoa học: Fidelity+ (độ suy giảm xác suất khi loại bỏ subgraph quan trọng), Fidelity- (xác suất được bảo toàn khi chỉ giữ lại subgraph quan trọng), Sparsity (mức độ cô đọng của giải thích) và Stability (độ ổn định của lời giải thích).</w:t>
        <w:br/>
        <w:t>• Vẽ đường cong suy giảm hiệu năng (ROAR / Insertion-Deletion curve) để kiểm chứng tính xác thực của các cạnh quan trọng.</w:t>
      </w:r>
    </w:p>
    <w:p>
      <w:pPr>
        <w:spacing w:after="120" w:before="0" w:line="300" w:lineRule="auto"/>
        <w:jc w:val="both"/>
      </w:pPr>
      <w:r>
        <w:rPr>
          <w:rFonts w:ascii="Times New Roman" w:hAnsi="Times New Roman"/>
          <w:b/>
          <w:color w:val="000000"/>
          <w:sz w:val="21"/>
        </w:rPr>
        <w:t xml:space="preserve">3. Bước tiền đề cho Bước [9] (Hybrid Centrality): </w:t>
      </w:r>
      <w:r>
        <w:rPr>
          <w:rFonts w:ascii="Times New Roman" w:hAnsi="Times New Roman"/>
          <w:color w:val="000000"/>
          <w:sz w:val="21"/>
        </w:rPr>
        <w:t>• Xây dựng đồ thị mạng chuyền bóng tổng hợp (aggregate passing network) của từng đội bóng trong cả mùa giải.</w:t>
        <w:br/>
        <w:t>• Tính toán 4 chỉ số centrality truyền thống (Degree, Betweenness, Closeness, Eigenvector Centrality).</w:t>
        <w:br/>
        <w:t>• Thiết kế cơ chế tổng hợp điểm XAI-importance của từng cầu thủ từ các pha bóng và thử nghiệm công thức kết hợp Hybrid Centrality có trọng số.</w:t>
      </w:r>
    </w:p>
    <w:p>
      <w:pPr>
        <w:keepNext/>
        <w:spacing w:before="280" w:after="120"/>
      </w:pPr>
      <w:r>
        <w:rPr>
          <w:rFonts w:ascii="Times New Roman" w:hAnsi="Times New Roman"/>
          <w:b/>
          <w:color w:val="2E74B5"/>
          <w:sz w:val="30"/>
        </w:rPr>
        <w:t>6. Tổng kết tiến độ tuần 11/10/2026</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37"/>
        <w:gridCol w:w="2437"/>
        <w:gridCol w:w="2437"/>
        <w:gridCol w:w="2437"/>
      </w:tblGrid>
      <w:tr>
        <w:trPr>
          <w:tblHeader/>
        </w:trPr>
        <w:tc>
          <w:tcPr>
            <w:tcW w:type="dxa" w:w="2592"/>
            <w:shd w:fill="2E74B5"/>
            <w:tcMar>
              <w:top w:w="120" w:type="dxa"/>
              <w:bottom w:w="120" w:type="dxa"/>
              <w:left w:w="120" w:type="dxa"/>
              <w:right w:w="120" w:type="dxa"/>
            </w:tcMar>
          </w:tcPr>
          <w:p>
            <w:pPr>
              <w:spacing w:before="0" w:after="0"/>
              <w:jc w:val="center"/>
            </w:pPr>
            <w:r>
              <w:rPr>
                <w:rFonts w:ascii="Times New Roman" w:hAnsi="Times New Roman"/>
                <w:b/>
                <w:color w:val="FFFFFF"/>
                <w:sz w:val="19"/>
              </w:rPr>
              <w:t>Hạng mục công việc</w:t>
            </w:r>
          </w:p>
        </w:tc>
        <w:tc>
          <w:tcPr>
            <w:tcW w:type="dxa" w:w="3168"/>
            <w:shd w:fill="2E74B5"/>
            <w:tcMar>
              <w:top w:w="120" w:type="dxa"/>
              <w:bottom w:w="120" w:type="dxa"/>
              <w:left w:w="120" w:type="dxa"/>
              <w:right w:w="120" w:type="dxa"/>
            </w:tcMar>
          </w:tcPr>
          <w:p>
            <w:pPr>
              <w:spacing w:before="0" w:after="0"/>
              <w:jc w:val="center"/>
            </w:pPr>
            <w:r>
              <w:rPr>
                <w:rFonts w:ascii="Times New Roman" w:hAnsi="Times New Roman"/>
                <w:b/>
                <w:color w:val="FFFFFF"/>
                <w:sz w:val="19"/>
              </w:rPr>
              <w:t>Kế hoạch đề ra</w:t>
            </w:r>
          </w:p>
        </w:tc>
        <w:tc>
          <w:tcPr>
            <w:tcW w:type="dxa" w:w="3312"/>
            <w:shd w:fill="2E74B5"/>
            <w:tcMar>
              <w:top w:w="120" w:type="dxa"/>
              <w:bottom w:w="120" w:type="dxa"/>
              <w:left w:w="120" w:type="dxa"/>
              <w:right w:w="120" w:type="dxa"/>
            </w:tcMar>
          </w:tcPr>
          <w:p>
            <w:pPr>
              <w:spacing w:before="0" w:after="0"/>
              <w:jc w:val="center"/>
            </w:pPr>
            <w:r>
              <w:rPr>
                <w:rFonts w:ascii="Times New Roman" w:hAnsi="Times New Roman"/>
                <w:b/>
                <w:color w:val="FFFFFF"/>
                <w:sz w:val="19"/>
              </w:rPr>
              <w:t>Kết quả thực tế</w:t>
            </w:r>
          </w:p>
        </w:tc>
        <w:tc>
          <w:tcPr>
            <w:tcW w:type="dxa" w:w="1584"/>
            <w:shd w:fill="2E74B5"/>
            <w:tcMar>
              <w:top w:w="120" w:type="dxa"/>
              <w:bottom w:w="120" w:type="dxa"/>
              <w:left w:w="120" w:type="dxa"/>
              <w:right w:w="120" w:type="dxa"/>
            </w:tcMar>
          </w:tcPr>
          <w:p>
            <w:pPr>
              <w:spacing w:before="0" w:after="0"/>
              <w:jc w:val="center"/>
            </w:pPr>
            <w:r>
              <w:rPr>
                <w:rFonts w:ascii="Times New Roman" w:hAnsi="Times New Roman"/>
                <w:b/>
                <w:color w:val="FFFFFF"/>
                <w:sz w:val="19"/>
              </w:rPr>
              <w:t>Trạng thái</w:t>
            </w:r>
          </w:p>
        </w:tc>
      </w:tr>
      <w:tr>
        <w:tc>
          <w:tcPr>
            <w:tcW w:type="dxa" w:w="259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Bước [4] — Chia tập dữ liệu</w:t>
            </w:r>
          </w:p>
        </w:tc>
        <w:tc>
          <w:tcPr>
            <w:tcW w:type="dxa" w:w="316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Chia 70/15/15 theo trận, tránh leakage</w:t>
            </w:r>
          </w:p>
        </w:tc>
        <w:tc>
          <w:tcPr>
            <w:tcW w:type="dxa" w:w="331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380 trận (266 train / 57 val / 57 test), 5/5 checks PASS</w:t>
            </w:r>
          </w:p>
        </w:tc>
        <w:tc>
          <w:tcPr>
            <w:tcW w:type="dxa" w:w="1584"/>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Hoàn thành (100%)</w:t>
            </w:r>
          </w:p>
        </w:tc>
      </w:tr>
      <w:tr>
        <w:tc>
          <w:tcPr>
            <w:tcW w:type="dxa" w:w="259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Bước [5] — Huấn luyện GNN</w:t>
            </w:r>
          </w:p>
        </w:tc>
        <w:tc>
          <w:tcPr>
            <w:tcW w:type="dxa" w:w="316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Cài đặt MPNN, GCN, GATv2, GraphSAGE</w:t>
            </w:r>
          </w:p>
        </w:tc>
        <w:tc>
          <w:tcPr>
            <w:tcW w:type="dxa" w:w="331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Đã huấn luyện 4 mô hình, xử lý mất cân bằng pos_weight=6,31</w:t>
            </w:r>
          </w:p>
        </w:tc>
        <w:tc>
          <w:tcPr>
            <w:tcW w:type="dxa" w:w="1584"/>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Hoàn thành (100%)</w:t>
            </w:r>
          </w:p>
        </w:tc>
      </w:tr>
      <w:tr>
        <w:tc>
          <w:tcPr>
            <w:tcW w:type="dxa" w:w="259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Bước [6] — Đánh giá mô hình</w:t>
            </w:r>
          </w:p>
        </w:tc>
        <w:tc>
          <w:tcPr>
            <w:tcW w:type="dxa" w:w="316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Tính bộ 7 độ đo trên tập Test độc lập</w:t>
            </w:r>
          </w:p>
        </w:tc>
        <w:tc>
          <w:tcPr>
            <w:tcW w:type="dxa" w:w="331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Đã đánh giá 6.646 đồ thị test, MPNN đạt AUC-PR 0,5747</w:t>
            </w:r>
          </w:p>
        </w:tc>
        <w:tc>
          <w:tcPr>
            <w:tcW w:type="dxa" w:w="1584"/>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Hoàn thành (100%)</w:t>
            </w:r>
          </w:p>
        </w:tc>
      </w:tr>
      <w:tr>
        <w:tc>
          <w:tcPr>
            <w:tcW w:type="dxa" w:w="259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Đối sánh Tầng 2 (GNN)</w:t>
            </w:r>
          </w:p>
        </w:tc>
        <w:tc>
          <w:tcPr>
            <w:tcW w:type="dxa" w:w="316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So sánh 4 kiến trúc GNN cùng pipeline</w:t>
            </w:r>
          </w:p>
        </w:tc>
        <w:tc>
          <w:tcPr>
            <w:tcW w:type="dxa" w:w="331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MPNN vượt trội GCN (+76%), GATv2 (+92%), GraphSAGE (+52%)</w:t>
            </w:r>
          </w:p>
        </w:tc>
        <w:tc>
          <w:tcPr>
            <w:tcW w:type="dxa" w:w="1584"/>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Hoàn thành (100%)</w:t>
            </w:r>
          </w:p>
        </w:tc>
      </w:tr>
      <w:tr>
        <w:tc>
          <w:tcPr>
            <w:tcW w:type="dxa" w:w="259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Đối sánh Tầng 3(a) (Baseline)</w:t>
            </w:r>
          </w:p>
        </w:tc>
        <w:tc>
          <w:tcPr>
            <w:tcW w:type="dxa" w:w="3168"/>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So sánh với Logistic, Random Forest, ANN</w:t>
            </w:r>
          </w:p>
        </w:tc>
        <w:tc>
          <w:tcPr>
            <w:tcW w:type="dxa" w:w="3312"/>
            <w:shd w:fill="FFFFFF"/>
            <w:tcMar>
              <w:top w:w="90" w:type="dxa"/>
              <w:bottom w:w="90" w:type="dxa"/>
              <w:left w:w="120" w:type="dxa"/>
              <w:right w:w="120" w:type="dxa"/>
            </w:tcMar>
          </w:tcPr>
          <w:p>
            <w:pPr>
              <w:spacing w:before="0" w:after="0" w:line="276" w:lineRule="auto"/>
              <w:jc w:val="left"/>
            </w:pPr>
            <w:r>
              <w:rPr>
                <w:rFonts w:ascii="Times New Roman" w:hAnsi="Times New Roman"/>
                <w:color w:val="000000"/>
                <w:sz w:val="19"/>
              </w:rPr>
              <w:t>Đã hoàn thành bảng đối sánh 7 mô hình, khẳng định vai trò đồ thị</w:t>
            </w:r>
          </w:p>
        </w:tc>
        <w:tc>
          <w:tcPr>
            <w:tcW w:type="dxa" w:w="1584"/>
            <w:shd w:fill="FFFFFF"/>
            <w:tcMar>
              <w:top w:w="90" w:type="dxa"/>
              <w:bottom w:w="90" w:type="dxa"/>
              <w:left w:w="120" w:type="dxa"/>
              <w:right w:w="120" w:type="dxa"/>
            </w:tcMar>
          </w:tcPr>
          <w:p>
            <w:pPr>
              <w:spacing w:before="0" w:after="0" w:line="276" w:lineRule="auto"/>
              <w:jc w:val="center"/>
            </w:pPr>
            <w:r>
              <w:rPr>
                <w:rFonts w:ascii="Times New Roman" w:hAnsi="Times New Roman"/>
                <w:color w:val="000000"/>
                <w:sz w:val="19"/>
              </w:rPr>
              <w:t>Hoàn thành (100%)</w:t>
            </w:r>
          </w:p>
        </w:tc>
      </w:tr>
      <w:tr>
        <w:tc>
          <w:tcPr>
            <w:tcW w:type="dxa" w:w="259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Kiểm thử hệ thống</w:t>
            </w:r>
          </w:p>
        </w:tc>
        <w:tc>
          <w:tcPr>
            <w:tcW w:type="dxa" w:w="3168"/>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Đảm bảo mã nguồn đạt chuẩn kiểm thử</w:t>
            </w:r>
          </w:p>
        </w:tc>
        <w:tc>
          <w:tcPr>
            <w:tcW w:type="dxa" w:w="3312"/>
            <w:shd w:fill="F9FAFC"/>
            <w:tcMar>
              <w:top w:w="90" w:type="dxa"/>
              <w:bottom w:w="90" w:type="dxa"/>
              <w:left w:w="120" w:type="dxa"/>
              <w:right w:w="120" w:type="dxa"/>
            </w:tcMar>
          </w:tcPr>
          <w:p>
            <w:pPr>
              <w:spacing w:before="0" w:after="0" w:line="276" w:lineRule="auto"/>
              <w:jc w:val="left"/>
            </w:pPr>
            <w:r>
              <w:rPr>
                <w:rFonts w:ascii="Times New Roman" w:hAnsi="Times New Roman"/>
                <w:color w:val="000000"/>
                <w:sz w:val="19"/>
              </w:rPr>
              <w:t>52/52 bài kiểm thử pytest PASS, linter ruff và black sạch sẽ</w:t>
            </w:r>
          </w:p>
        </w:tc>
        <w:tc>
          <w:tcPr>
            <w:tcW w:type="dxa" w:w="1584"/>
            <w:shd w:fill="F9FAFC"/>
            <w:tcMar>
              <w:top w:w="90" w:type="dxa"/>
              <w:bottom w:w="90" w:type="dxa"/>
              <w:left w:w="120" w:type="dxa"/>
              <w:right w:w="120" w:type="dxa"/>
            </w:tcMar>
          </w:tcPr>
          <w:p>
            <w:pPr>
              <w:spacing w:before="0" w:after="0" w:line="276" w:lineRule="auto"/>
              <w:jc w:val="center"/>
            </w:pPr>
            <w:r>
              <w:rPr>
                <w:rFonts w:ascii="Times New Roman" w:hAnsi="Times New Roman"/>
                <w:color w:val="000000"/>
                <w:sz w:val="19"/>
              </w:rPr>
              <w:t>Hoàn thành (100%)</w:t>
            </w:r>
          </w:p>
        </w:tc>
      </w:tr>
    </w:tbl>
    <w:p>
      <w:pPr>
        <w:spacing w:before="0" w:after="120"/>
      </w:pP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