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drawing>
          <wp:inline distT="0" distB="0" distL="0" distR="0">
            <wp:extent cx="1123950" cy="371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123950" cy="371475"/>
                    </a:xfrm>
                    <a:prstGeom prst="rect">
                      <a:avLst/>
                    </a:prstGeom>
                  </pic:spPr>
                </pic:pic>
              </a:graphicData>
            </a:graphic>
          </wp:inline>
        </w:drawing>
      </w:r>
    </w:p>
    <w:p>
      <w:pPr>
        <w:pBdr>
          <w:bottom w:val="double" w:color="1F3864" w:sz="6"/>
        </w:pBdr>
        <w:spacing w:after="30"/>
      </w:pPr>
    </w:p>
    <w:p>
      <w:pPr>
        <w:spacing w:after="120" w:before="260"/>
      </w:pPr>
      <w:r>
        <w:rPr>
          <w:rFonts w:ascii="Verdana" w:cs="Verdana" w:eastAsia="Verdana" w:hAnsi="Verdana"/>
          <w:b/>
          <w:bCs/>
          <w:color w:val="1F3864"/>
          <w:sz w:val="50"/>
          <w:szCs w:val="50"/>
        </w:rPr>
        <w:t xml:space="preserve">FastME: Star In Your Own Micro Drama</w:t>
      </w:r>
    </w:p>
    <w:p>
      <w:pPr>
        <w:spacing w:after="90"/>
      </w:pPr>
      <w:r>
        <w:rPr>
          <w:rFonts w:ascii="Verdana" w:cs="Verdana" w:eastAsia="Verdana" w:hAnsi="Verdana"/>
          <w:i/>
          <w:iCs/>
          <w:color w:val="6B6B6B"/>
          <w:sz w:val="20"/>
          <w:szCs w:val="20"/>
        </w:rPr>
        <w:t xml:space="preserve">A product note on hyper personalised storytelling within Fast TV: the consumer journey, credit economy, content supply architecture, personalisation pipeline, trust framework and the gated path from concept to demo.</w:t>
      </w:r>
    </w:p>
    <w:p>
      <w:pPr>
        <w:spacing w:after="60"/>
      </w:pPr>
      <w:r>
        <w:rPr>
          <w:rFonts w:ascii="Verdana" w:cs="Verdana" w:eastAsia="Verdana" w:hAnsi="Verdana"/>
          <w:color w:val="6B6B6B"/>
          <w:sz w:val="16"/>
          <w:szCs w:val="16"/>
        </w:rPr>
        <w:t xml:space="preserve">24 July 2026  ·  Draft 1.0 for internal review  ·  Prepared for Neeraj Roy</w:t>
      </w:r>
    </w:p>
    <w:p>
      <w:pPr>
        <w:pBdr>
          <w:bottom w:val="single" w:color="9AA7BC" w:sz="4"/>
        </w:pBdr>
        <w:spacing w:after="240"/>
      </w:pPr>
    </w:p>
    <w:p>
      <w:pPr>
        <w:pBdr>
          <w:top w:val="single" w:color="9AA7BC" w:sz="4"/>
        </w:pBdr>
        <w:spacing w:after="160" w:before="340"/>
      </w:pPr>
      <w:r>
        <w:rPr>
          <w:rFonts w:ascii="Verdana" w:cs="Verdana" w:eastAsia="Verdana" w:hAnsi="Verdana"/>
          <w:b/>
          <w:bCs/>
          <w:color w:val="C00000"/>
          <w:sz w:val="17"/>
          <w:szCs w:val="17"/>
        </w:rPr>
        <w:t xml:space="preserve">01</w:t>
      </w:r>
      <w:r>
        <w:rPr>
          <w:rFonts w:ascii="Verdana" w:cs="Verdana" w:eastAsia="Verdana" w:hAnsi="Verdana"/>
          <w:b/>
          <w:bCs/>
          <w:color w:val="1F3864"/>
          <w:sz w:val="24"/>
          <w:szCs w:val="24"/>
        </w:rPr>
        <w:t xml:space="preserve">   THE PREMISE: FROM MY ENDINGS TO MY STARRING ROLE</w:t>
      </w:r>
    </w:p>
    <w:p>
      <w:pPr>
        <w:spacing w:after="140" w:line="276"/>
        <w:jc w:val="both"/>
      </w:pPr>
      <w:r>
        <w:rPr>
          <w:rFonts w:ascii="Verdana" w:cs="Verdana" w:eastAsia="Verdana" w:hAnsi="Verdana"/>
          <w:color w:val="2B2B2B"/>
          <w:sz w:val="19"/>
          <w:szCs w:val="19"/>
        </w:rPr>
        <w:t xml:space="preserve">FastME began life as My Endings: the viewer decides how the story concludes. This note extends FastME from a single feature into a family of hyper personalised formats and proposes its most powerful expression yet: the subscriber does not merely choose the ending. The subscriber is the lead.</w:t>
      </w:r>
    </w:p>
    <w:p>
      <w:pPr>
        <w:spacing w:after="140" w:line="276"/>
        <w:jc w:val="both"/>
      </w:pPr>
      <w:r>
        <w:rPr>
          <w:rFonts w:ascii="Verdana" w:cs="Verdana" w:eastAsia="Verdana" w:hAnsi="Verdana"/>
          <w:color w:val="2B2B2B"/>
          <w:sz w:val="19"/>
          <w:szCs w:val="19"/>
        </w:rPr>
        <w:t xml:space="preserve">The mechanic is simple to state. A Fast TV subscriber uploads a photo or takes a guided selfie, selects a Micro Drama concept, selects how many episodes they want and within 12 hours receives a professionally crafted Micro Drama in which they star. Behind that simplicity sits everything Hungama has built over two-plus decades: a production and rights engine, the CineIQ™ creative intelligence platform, confirmed AI video generation capability through Seedance 2.0, voice capability through ElevenLabs and Fast TV distribution across 90 countries.</w:t>
      </w:r>
    </w:p>
    <w:p>
      <w:pPr>
        <w:spacing w:after="140" w:line="276"/>
        <w:jc w:val="both"/>
      </w:pPr>
      <w:r>
        <w:rPr>
          <w:rFonts w:ascii="Verdana" w:cs="Verdana" w:eastAsia="Verdana" w:hAnsi="Verdana"/>
          <w:color w:val="2B2B2B"/>
          <w:sz w:val="19"/>
          <w:szCs w:val="19"/>
        </w:rPr>
        <w:t xml:space="preserve">Strategically this is the Finite to Infinite thesis made product. When content supply becomes infinite, value migrates to signals, insight and timing; the single most defensible signal in entertainment is the viewer themself. Nobody else can supply your face, your name in the opening credits or the emotional charge of watching yourself carry a story. Personalisation at this depth is not a gimmick layered onto content. It is a structurally different product with structurally different retention and word of mouth economics.</w:t>
      </w:r>
    </w:p>
    <w:p>
      <w:pPr>
        <w:pBdr>
          <w:left w:val="single" w:color="C9A227" w:sz="14" w:space="12"/>
        </w:pBdr>
        <w:spacing w:after="160" w:before="120" w:line="276"/>
        <w:ind w:left="520" w:right="400"/>
      </w:pPr>
      <w:r>
        <w:rPr>
          <w:rFonts w:ascii="Verdana" w:cs="Verdana" w:eastAsia="Verdana" w:hAnsi="Verdana"/>
          <w:i/>
          <w:iCs/>
          <w:color w:val="1F3864"/>
          <w:sz w:val="19"/>
          <w:szCs w:val="19"/>
        </w:rPr>
        <w:t xml:space="preserve">Note on IP: the Finite to Infinite framework referenced above is Neeraj Roy's proprietary intellectual framework, held for publication. It may anchor internal strategy but must not be attributed, excerpted or presented in external material without explicit clearance.</w:t>
      </w:r>
    </w:p>
    <w:p>
      <w:pPr>
        <w:pBdr>
          <w:top w:val="single" w:color="9AA7BC" w:sz="4"/>
        </w:pBdr>
        <w:spacing w:after="160" w:before="340"/>
      </w:pPr>
      <w:r>
        <w:rPr>
          <w:rFonts w:ascii="Verdana" w:cs="Verdana" w:eastAsia="Verdana" w:hAnsi="Verdana"/>
          <w:b/>
          <w:bCs/>
          <w:color w:val="C00000"/>
          <w:sz w:val="17"/>
          <w:szCs w:val="17"/>
        </w:rPr>
        <w:t xml:space="preserve">02</w:t>
      </w:r>
      <w:r>
        <w:rPr>
          <w:rFonts w:ascii="Verdana" w:cs="Verdana" w:eastAsia="Verdana" w:hAnsi="Verdana"/>
          <w:b/>
          <w:bCs/>
          <w:color w:val="1F3864"/>
          <w:sz w:val="24"/>
          <w:szCs w:val="24"/>
        </w:rPr>
        <w:t xml:space="preserve">   NAMING AND BRAND TERRITORY</w:t>
      </w:r>
    </w:p>
    <w:p>
      <w:pPr>
        <w:spacing w:after="140" w:line="276"/>
        <w:jc w:val="both"/>
      </w:pPr>
      <w:r>
        <w:rPr>
          <w:rFonts w:ascii="Verdana" w:cs="Verdana" w:eastAsia="Verdana" w:hAnsi="Verdana"/>
          <w:color w:val="2B2B2B"/>
          <w:sz w:val="19"/>
          <w:szCs w:val="19"/>
        </w:rPr>
        <w:t xml:space="preserve">The working description is Star In Your Own Micro Drama. The feature deserves a name that lives inside the FastME family, travels across 90 countries and is ownable as a trademark. Candidates for evaluation:</w:t>
      </w:r>
    </w:p>
    <w:tbl>
      <w:tblPr>
        <w:tblW w:type="dxa" w:w="9000"/>
        <w:tblBorders>
          <w:top w:val="single" w:color="C8CDD6" w:sz="3"/>
          <w:left w:val="none" w:color="FFFFFF" w:sz="0"/>
          <w:bottom w:val="single" w:color="C8CDD6" w:sz="3"/>
          <w:right w:val="none" w:color="FFFFFF" w:sz="0"/>
          <w:insideH w:val="single" w:color="DDE1E8" w:sz="3"/>
          <w:insideV w:val="none" w:color="FFFFFF" w:sz="0"/>
        </w:tblBorders>
      </w:tblPr>
      <w:tblGrid>
        <w:gridCol w:w="1700"/>
        <w:gridCol w:w="4700"/>
        <w:gridCol w:w="2600"/>
      </w:tblGrid>
      <w:tr>
        <w:tc>
          <w:tcPr>
            <w:tcW w:type="dxa" w:w="1700"/>
            <w:tcMar>
              <w:top w:type="dxa" w:w="70"/>
              <w:left w:type="dxa" w:w="90"/>
              <w:bottom w:type="dxa" w:w="70"/>
              <w:right w:type="dxa" w:w="90"/>
            </w:tcMar>
          </w:tcPr>
          <w:p>
            <w:pPr>
              <w:spacing w:after="0" w:line="252"/>
              <w:jc w:val="left"/>
            </w:pPr>
            <w:r>
              <w:rPr>
                <w:rFonts w:ascii="Verdana" w:cs="Verdana" w:eastAsia="Verdana" w:hAnsi="Verdana"/>
                <w:b/>
                <w:bCs/>
                <w:color w:val="1F3864"/>
                <w:sz w:val="17"/>
                <w:szCs w:val="17"/>
              </w:rPr>
              <w:t xml:space="preserve">Candidate</w:t>
            </w:r>
          </w:p>
        </w:tc>
        <w:tc>
          <w:tcPr>
            <w:tcW w:type="dxa" w:w="4700"/>
            <w:tcMar>
              <w:top w:type="dxa" w:w="70"/>
              <w:left w:type="dxa" w:w="90"/>
              <w:bottom w:type="dxa" w:w="70"/>
              <w:right w:type="dxa" w:w="90"/>
            </w:tcMar>
          </w:tcPr>
          <w:p>
            <w:pPr>
              <w:spacing w:after="0" w:line="252"/>
              <w:jc w:val="left"/>
            </w:pPr>
            <w:r>
              <w:rPr>
                <w:rFonts w:ascii="Verdana" w:cs="Verdana" w:eastAsia="Verdana" w:hAnsi="Verdana"/>
                <w:b/>
                <w:bCs/>
                <w:color w:val="1F3864"/>
                <w:sz w:val="17"/>
                <w:szCs w:val="17"/>
              </w:rPr>
              <w:t xml:space="preserve">Rationale</w:t>
            </w:r>
          </w:p>
        </w:tc>
        <w:tc>
          <w:tcPr>
            <w:tcW w:type="dxa" w:w="2600"/>
            <w:tcMar>
              <w:top w:type="dxa" w:w="70"/>
              <w:left w:type="dxa" w:w="90"/>
              <w:bottom w:type="dxa" w:w="70"/>
              <w:right w:type="dxa" w:w="90"/>
            </w:tcMar>
          </w:tcPr>
          <w:p>
            <w:pPr>
              <w:spacing w:after="0" w:line="252"/>
              <w:jc w:val="left"/>
            </w:pPr>
            <w:r>
              <w:rPr>
                <w:rFonts w:ascii="Verdana" w:cs="Verdana" w:eastAsia="Verdana" w:hAnsi="Verdana"/>
                <w:b/>
                <w:bCs/>
                <w:color w:val="1F3864"/>
                <w:sz w:val="17"/>
                <w:szCs w:val="17"/>
              </w:rPr>
              <w:t xml:space="preserve">Watchpoint</w:t>
            </w:r>
          </w:p>
        </w:tc>
      </w:tr>
      <w:tr>
        <w:tc>
          <w:tcPr>
            <w:tcW w:type="dxa" w:w="1700"/>
            <w:tcMar>
              <w:top w:type="dxa" w:w="70"/>
              <w:left w:type="dxa" w:w="90"/>
              <w:bottom w:type="dxa" w:w="70"/>
              <w:right w:type="dxa" w:w="90"/>
            </w:tcMar>
          </w:tcPr>
          <w:p>
            <w:pPr>
              <w:spacing w:after="0" w:line="252"/>
              <w:jc w:val="left"/>
            </w:pPr>
            <w:r>
              <w:rPr>
                <w:rFonts w:ascii="Verdana" w:cs="Verdana" w:eastAsia="Verdana" w:hAnsi="Verdana"/>
                <w:b/>
                <w:bCs/>
                <w:color w:val="2B2B2B"/>
                <w:sz w:val="18"/>
                <w:szCs w:val="18"/>
              </w:rPr>
              <w:t xml:space="preserve">StarME</w:t>
            </w:r>
          </w:p>
        </w:tc>
        <w:tc>
          <w:tcPr>
            <w:tcW w:type="dxa" w:w="4700"/>
            <w:tcMar>
              <w:top w:type="dxa" w:w="70"/>
              <w:left w:type="dxa" w:w="90"/>
              <w:bottom w:type="dxa" w:w="70"/>
              <w:right w:type="dxa" w:w="90"/>
            </w:tcMar>
          </w:tcPr>
          <w:p>
            <w:pPr>
              <w:spacing w:after="0" w:line="252"/>
              <w:jc w:val="left"/>
            </w:pPr>
            <w:r>
              <w:rPr>
                <w:rFonts w:ascii="Verdana" w:cs="Verdana" w:eastAsia="Verdana" w:hAnsi="Verdana"/>
                <w:b w:val="false"/>
                <w:bCs w:val="false"/>
                <w:color w:val="2B2B2B"/>
                <w:sz w:val="18"/>
                <w:szCs w:val="18"/>
              </w:rPr>
              <w:t xml:space="preserve">Sits naturally beside FastME and My Endings. One word, self explanatory, global, strong app store presence. Recommended.</w:t>
            </w:r>
          </w:p>
        </w:tc>
        <w:tc>
          <w:tcPr>
            <w:tcW w:type="dxa" w:w="2600"/>
            <w:tcMar>
              <w:top w:type="dxa" w:w="70"/>
              <w:left w:type="dxa" w:w="90"/>
              <w:bottom w:type="dxa" w:w="70"/>
              <w:right w:type="dxa" w:w="90"/>
            </w:tcMar>
          </w:tcPr>
          <w:p>
            <w:pPr>
              <w:spacing w:after="0" w:line="252"/>
              <w:jc w:val="left"/>
            </w:pPr>
            <w:r>
              <w:rPr>
                <w:rFonts w:ascii="Verdana" w:cs="Verdana" w:eastAsia="Verdana" w:hAnsi="Verdana"/>
                <w:b w:val="false"/>
                <w:bCs w:val="false"/>
                <w:color w:val="2B2B2B"/>
                <w:sz w:val="18"/>
                <w:szCs w:val="18"/>
              </w:rPr>
              <w:t xml:space="preserve">Trademark search in key territories</w:t>
            </w:r>
          </w:p>
        </w:tc>
      </w:tr>
      <w:tr>
        <w:tc>
          <w:tcPr>
            <w:tcW w:type="dxa" w:w="1700"/>
            <w:tcMar>
              <w:top w:type="dxa" w:w="70"/>
              <w:left w:type="dxa" w:w="90"/>
              <w:bottom w:type="dxa" w:w="70"/>
              <w:right w:type="dxa" w:w="90"/>
            </w:tcMar>
          </w:tcPr>
          <w:p>
            <w:pPr>
              <w:spacing w:after="0" w:line="252"/>
              <w:jc w:val="left"/>
            </w:pPr>
            <w:r>
              <w:rPr>
                <w:rFonts w:ascii="Verdana" w:cs="Verdana" w:eastAsia="Verdana" w:hAnsi="Verdana"/>
                <w:b/>
                <w:bCs/>
                <w:color w:val="2B2B2B"/>
                <w:sz w:val="18"/>
                <w:szCs w:val="18"/>
              </w:rPr>
              <w:t xml:space="preserve">CastME</w:t>
            </w:r>
          </w:p>
        </w:tc>
        <w:tc>
          <w:tcPr>
            <w:tcW w:type="dxa" w:w="4700"/>
            <w:tcMar>
              <w:top w:type="dxa" w:w="70"/>
              <w:left w:type="dxa" w:w="90"/>
              <w:bottom w:type="dxa" w:w="70"/>
              <w:right w:type="dxa" w:w="90"/>
            </w:tcMar>
          </w:tcPr>
          <w:p>
            <w:pPr>
              <w:spacing w:after="0" w:line="252"/>
              <w:jc w:val="left"/>
            </w:pPr>
            <w:r>
              <w:rPr>
                <w:rFonts w:ascii="Verdana" w:cs="Verdana" w:eastAsia="Verdana" w:hAnsi="Verdana"/>
                <w:b w:val="false"/>
                <w:bCs w:val="false"/>
                <w:color w:val="2B2B2B"/>
                <w:sz w:val="18"/>
                <w:szCs w:val="18"/>
              </w:rPr>
              <w:t xml:space="preserve">Playful: the subscriber is cast. Verb energy suits Gen Z.</w:t>
            </w:r>
          </w:p>
        </w:tc>
        <w:tc>
          <w:tcPr>
            <w:tcW w:type="dxa" w:w="2600"/>
            <w:tcMar>
              <w:top w:type="dxa" w:w="70"/>
              <w:left w:type="dxa" w:w="90"/>
              <w:bottom w:type="dxa" w:w="70"/>
              <w:right w:type="dxa" w:w="90"/>
            </w:tcMar>
          </w:tcPr>
          <w:p>
            <w:pPr>
              <w:spacing w:after="0" w:line="252"/>
              <w:jc w:val="left"/>
            </w:pPr>
            <w:r>
              <w:rPr>
                <w:rFonts w:ascii="Verdana" w:cs="Verdana" w:eastAsia="Verdana" w:hAnsi="Verdana"/>
                <w:b w:val="false"/>
                <w:bCs w:val="false"/>
                <w:color w:val="2B2B2B"/>
                <w:sz w:val="18"/>
                <w:szCs w:val="18"/>
              </w:rPr>
              <w:t xml:space="preserve">Slightly less premium than StarME</w:t>
            </w:r>
          </w:p>
        </w:tc>
      </w:tr>
      <w:tr>
        <w:tc>
          <w:tcPr>
            <w:tcW w:type="dxa" w:w="1700"/>
            <w:tcMar>
              <w:top w:type="dxa" w:w="70"/>
              <w:left w:type="dxa" w:w="90"/>
              <w:bottom w:type="dxa" w:w="70"/>
              <w:right w:type="dxa" w:w="90"/>
            </w:tcMar>
          </w:tcPr>
          <w:p>
            <w:pPr>
              <w:spacing w:after="0" w:line="252"/>
              <w:jc w:val="left"/>
            </w:pPr>
            <w:r>
              <w:rPr>
                <w:rFonts w:ascii="Verdana" w:cs="Verdana" w:eastAsia="Verdana" w:hAnsi="Verdana"/>
                <w:b/>
                <w:bCs/>
                <w:color w:val="2B2B2B"/>
                <w:sz w:val="18"/>
                <w:szCs w:val="18"/>
              </w:rPr>
              <w:t xml:space="preserve">Main Character</w:t>
            </w:r>
          </w:p>
        </w:tc>
        <w:tc>
          <w:tcPr>
            <w:tcW w:type="dxa" w:w="4700"/>
            <w:tcMar>
              <w:top w:type="dxa" w:w="70"/>
              <w:left w:type="dxa" w:w="90"/>
              <w:bottom w:type="dxa" w:w="70"/>
              <w:right w:type="dxa" w:w="90"/>
            </w:tcMar>
          </w:tcPr>
          <w:p>
            <w:pPr>
              <w:spacing w:after="0" w:line="252"/>
              <w:jc w:val="left"/>
            </w:pPr>
            <w:r>
              <w:rPr>
                <w:rFonts w:ascii="Verdana" w:cs="Verdana" w:eastAsia="Verdana" w:hAnsi="Verdana"/>
                <w:b w:val="false"/>
                <w:bCs w:val="false"/>
                <w:color w:val="2B2B2B"/>
                <w:sz w:val="18"/>
                <w:szCs w:val="18"/>
              </w:rPr>
              <w:t xml:space="preserve">Rides the Gen Z main character energy idiom. Strong social currency.</w:t>
            </w:r>
          </w:p>
        </w:tc>
        <w:tc>
          <w:tcPr>
            <w:tcW w:type="dxa" w:w="2600"/>
            <w:tcMar>
              <w:top w:type="dxa" w:w="70"/>
              <w:left w:type="dxa" w:w="90"/>
              <w:bottom w:type="dxa" w:w="70"/>
              <w:right w:type="dxa" w:w="90"/>
            </w:tcMar>
          </w:tcPr>
          <w:p>
            <w:pPr>
              <w:spacing w:after="0" w:line="252"/>
              <w:jc w:val="left"/>
            </w:pPr>
            <w:r>
              <w:rPr>
                <w:rFonts w:ascii="Verdana" w:cs="Verdana" w:eastAsia="Verdana" w:hAnsi="Verdana"/>
                <w:b w:val="false"/>
                <w:bCs w:val="false"/>
                <w:color w:val="2B2B2B"/>
                <w:sz w:val="18"/>
                <w:szCs w:val="18"/>
              </w:rPr>
              <w:t xml:space="preserve">Hard to trademark, idiom may date</w:t>
            </w:r>
          </w:p>
        </w:tc>
      </w:tr>
      <w:tr>
        <w:tc>
          <w:tcPr>
            <w:tcW w:type="dxa" w:w="1700"/>
            <w:tcMar>
              <w:top w:type="dxa" w:w="70"/>
              <w:left w:type="dxa" w:w="90"/>
              <w:bottom w:type="dxa" w:w="70"/>
              <w:right w:type="dxa" w:w="90"/>
            </w:tcMar>
          </w:tcPr>
          <w:p>
            <w:pPr>
              <w:spacing w:after="0" w:line="252"/>
              <w:jc w:val="left"/>
            </w:pPr>
            <w:r>
              <w:rPr>
                <w:rFonts w:ascii="Verdana" w:cs="Verdana" w:eastAsia="Verdana" w:hAnsi="Verdana"/>
                <w:b/>
                <w:bCs/>
                <w:color w:val="2B2B2B"/>
                <w:sz w:val="18"/>
                <w:szCs w:val="18"/>
              </w:rPr>
              <w:t xml:space="preserve">FastME Debut</w:t>
            </w:r>
          </w:p>
        </w:tc>
        <w:tc>
          <w:tcPr>
            <w:tcW w:type="dxa" w:w="4700"/>
            <w:tcMar>
              <w:top w:type="dxa" w:w="70"/>
              <w:left w:type="dxa" w:w="90"/>
              <w:bottom w:type="dxa" w:w="70"/>
              <w:right w:type="dxa" w:w="90"/>
            </w:tcMar>
          </w:tcPr>
          <w:p>
            <w:pPr>
              <w:spacing w:after="0" w:line="252"/>
              <w:jc w:val="left"/>
            </w:pPr>
            <w:r>
              <w:rPr>
                <w:rFonts w:ascii="Verdana" w:cs="Verdana" w:eastAsia="Verdana" w:hAnsi="Verdana"/>
                <w:b w:val="false"/>
                <w:bCs w:val="false"/>
                <w:color w:val="2B2B2B"/>
                <w:sz w:val="18"/>
                <w:szCs w:val="18"/>
              </w:rPr>
              <w:t xml:space="preserve">Frames every drama as the subscriber's screen debut.</w:t>
            </w:r>
          </w:p>
        </w:tc>
        <w:tc>
          <w:tcPr>
            <w:tcW w:type="dxa" w:w="2600"/>
            <w:tcMar>
              <w:top w:type="dxa" w:w="70"/>
              <w:left w:type="dxa" w:w="90"/>
              <w:bottom w:type="dxa" w:w="70"/>
              <w:right w:type="dxa" w:w="90"/>
            </w:tcMar>
          </w:tcPr>
          <w:p>
            <w:pPr>
              <w:spacing w:after="0" w:line="252"/>
              <w:jc w:val="left"/>
            </w:pPr>
            <w:r>
              <w:rPr>
                <w:rFonts w:ascii="Verdana" w:cs="Verdana" w:eastAsia="Verdana" w:hAnsi="Verdana"/>
                <w:b w:val="false"/>
                <w:bCs w:val="false"/>
                <w:color w:val="2B2B2B"/>
                <w:sz w:val="18"/>
                <w:szCs w:val="18"/>
              </w:rPr>
              <w:t xml:space="preserve">Weaker as a standalone brand</w:t>
            </w:r>
          </w:p>
        </w:tc>
      </w:tr>
      <w:tr>
        <w:tc>
          <w:tcPr>
            <w:tcW w:type="dxa" w:w="1700"/>
            <w:tcMar>
              <w:top w:type="dxa" w:w="70"/>
              <w:left w:type="dxa" w:w="90"/>
              <w:bottom w:type="dxa" w:w="70"/>
              <w:right w:type="dxa" w:w="90"/>
            </w:tcMar>
          </w:tcPr>
          <w:p>
            <w:pPr>
              <w:spacing w:after="0" w:line="252"/>
              <w:jc w:val="left"/>
            </w:pPr>
            <w:r>
              <w:rPr>
                <w:rFonts w:ascii="Verdana" w:cs="Verdana" w:eastAsia="Verdana" w:hAnsi="Verdana"/>
                <w:b/>
                <w:bCs/>
                <w:color w:val="2B2B2B"/>
                <w:sz w:val="18"/>
                <w:szCs w:val="18"/>
              </w:rPr>
              <w:t xml:space="preserve">Mera Drama</w:t>
            </w:r>
          </w:p>
        </w:tc>
        <w:tc>
          <w:tcPr>
            <w:tcW w:type="dxa" w:w="4700"/>
            <w:tcMar>
              <w:top w:type="dxa" w:w="70"/>
              <w:left w:type="dxa" w:w="90"/>
              <w:bottom w:type="dxa" w:w="70"/>
              <w:right w:type="dxa" w:w="90"/>
            </w:tcMar>
          </w:tcPr>
          <w:p>
            <w:pPr>
              <w:spacing w:after="0" w:line="252"/>
              <w:jc w:val="left"/>
            </w:pPr>
            <w:r>
              <w:rPr>
                <w:rFonts w:ascii="Verdana" w:cs="Verdana" w:eastAsia="Verdana" w:hAnsi="Verdana"/>
                <w:b w:val="false"/>
                <w:bCs w:val="false"/>
                <w:color w:val="2B2B2B"/>
                <w:sz w:val="18"/>
                <w:szCs w:val="18"/>
              </w:rPr>
              <w:t xml:space="preserve">Warm Hindi register for the launch market.</w:t>
            </w:r>
          </w:p>
        </w:tc>
        <w:tc>
          <w:tcPr>
            <w:tcW w:type="dxa" w:w="2600"/>
            <w:tcMar>
              <w:top w:type="dxa" w:w="70"/>
              <w:left w:type="dxa" w:w="90"/>
              <w:bottom w:type="dxa" w:w="70"/>
              <w:right w:type="dxa" w:w="90"/>
            </w:tcMar>
          </w:tcPr>
          <w:p>
            <w:pPr>
              <w:spacing w:after="0" w:line="252"/>
              <w:jc w:val="left"/>
            </w:pPr>
            <w:r>
              <w:rPr>
                <w:rFonts w:ascii="Verdana" w:cs="Verdana" w:eastAsia="Verdana" w:hAnsi="Verdana"/>
                <w:b w:val="false"/>
                <w:bCs w:val="false"/>
                <w:color w:val="2B2B2B"/>
                <w:sz w:val="18"/>
                <w:szCs w:val="18"/>
              </w:rPr>
              <w:t xml:space="preserve">Does not travel internationally</w:t>
            </w:r>
          </w:p>
        </w:tc>
      </w:tr>
    </w:tbl>
    <w:p>
      <w:pPr>
        <w:spacing w:after="80"/>
      </w:pPr>
    </w:p>
    <w:p>
      <w:pPr>
        <w:spacing w:after="140" w:line="276"/>
        <w:jc w:val="both"/>
      </w:pPr>
      <w:r>
        <w:rPr>
          <w:rFonts w:ascii="Verdana" w:cs="Verdana" w:eastAsia="Verdana" w:hAnsi="Verdana"/>
          <w:color w:val="2B2B2B"/>
          <w:sz w:val="19"/>
          <w:szCs w:val="19"/>
        </w:rPr>
        <w:t xml:space="preserve">Recommendation: lock StarME as the feature brand under the FastME umbrella, with Star in your own Micro Drama as the campaign line. Commission the trademark search through Trilegal before public use. The remainder of this note uses StarME as the working name.</w:t>
      </w:r>
    </w:p>
    <w:p>
      <w:pPr>
        <w:pBdr>
          <w:top w:val="single" w:color="9AA7BC" w:sz="4"/>
        </w:pBdr>
        <w:spacing w:after="160" w:before="340"/>
      </w:pPr>
      <w:r>
        <w:rPr>
          <w:rFonts w:ascii="Verdana" w:cs="Verdana" w:eastAsia="Verdana" w:hAnsi="Verdana"/>
          <w:b/>
          <w:bCs/>
          <w:color w:val="C00000"/>
          <w:sz w:val="17"/>
          <w:szCs w:val="17"/>
        </w:rPr>
        <w:t xml:space="preserve">03</w:t>
      </w:r>
      <w:r>
        <w:rPr>
          <w:rFonts w:ascii="Verdana" w:cs="Verdana" w:eastAsia="Verdana" w:hAnsi="Verdana"/>
          <w:b/>
          <w:bCs/>
          <w:color w:val="1F3864"/>
          <w:sz w:val="24"/>
          <w:szCs w:val="24"/>
        </w:rPr>
        <w:t xml:space="preserve">   THE FASTME ARCHITECTURE: ONE UMBRELLA, EXPANDING FORMATS</w:t>
      </w:r>
    </w:p>
    <w:p>
      <w:pPr>
        <w:spacing w:after="140" w:line="276"/>
        <w:jc w:val="both"/>
      </w:pPr>
      <w:r>
        <w:rPr>
          <w:rFonts w:ascii="Verdana" w:cs="Verdana" w:eastAsia="Verdana" w:hAnsi="Verdana"/>
          <w:color w:val="2B2B2B"/>
          <w:sz w:val="19"/>
          <w:szCs w:val="19"/>
        </w:rPr>
        <w:t xml:space="preserve">FastME becomes the umbrella brand for hyper personalised storytelling on Fast TV, with formats that ladder in intimacy and price:</w:t>
      </w:r>
    </w:p>
    <w:tbl>
      <w:tblPr>
        <w:tblW w:type="dxa" w:w="9000"/>
        <w:tblBorders>
          <w:top w:val="single" w:color="C8CDD6" w:sz="3"/>
          <w:left w:val="none" w:color="FFFFFF" w:sz="0"/>
          <w:bottom w:val="single" w:color="C8CDD6" w:sz="3"/>
          <w:right w:val="none" w:color="FFFFFF" w:sz="0"/>
          <w:insideH w:val="single" w:color="DDE1E8" w:sz="3"/>
          <w:insideV w:val="none" w:color="FFFFFF" w:sz="0"/>
        </w:tblBorders>
      </w:tblPr>
      <w:tblGrid>
        <w:gridCol w:w="2200"/>
        <w:gridCol w:w="4600"/>
        <w:gridCol w:w="2200"/>
      </w:tblGrid>
      <w:tr>
        <w:tc>
          <w:tcPr>
            <w:tcW w:type="dxa" w:w="2200"/>
            <w:tcMar>
              <w:top w:type="dxa" w:w="70"/>
              <w:left w:type="dxa" w:w="90"/>
              <w:bottom w:type="dxa" w:w="70"/>
              <w:right w:type="dxa" w:w="90"/>
            </w:tcMar>
          </w:tcPr>
          <w:p>
            <w:pPr>
              <w:spacing w:after="0" w:line="252"/>
              <w:jc w:val="left"/>
            </w:pPr>
            <w:r>
              <w:rPr>
                <w:rFonts w:ascii="Verdana" w:cs="Verdana" w:eastAsia="Verdana" w:hAnsi="Verdana"/>
                <w:b/>
                <w:bCs/>
                <w:color w:val="1F3864"/>
                <w:sz w:val="17"/>
                <w:szCs w:val="17"/>
              </w:rPr>
              <w:t xml:space="preserve">Format</w:t>
            </w:r>
          </w:p>
        </w:tc>
        <w:tc>
          <w:tcPr>
            <w:tcW w:type="dxa" w:w="4600"/>
            <w:tcMar>
              <w:top w:type="dxa" w:w="70"/>
              <w:left w:type="dxa" w:w="90"/>
              <w:bottom w:type="dxa" w:w="70"/>
              <w:right w:type="dxa" w:w="90"/>
            </w:tcMar>
          </w:tcPr>
          <w:p>
            <w:pPr>
              <w:spacing w:after="0" w:line="252"/>
              <w:jc w:val="left"/>
            </w:pPr>
            <w:r>
              <w:rPr>
                <w:rFonts w:ascii="Verdana" w:cs="Verdana" w:eastAsia="Verdana" w:hAnsi="Verdana"/>
                <w:b/>
                <w:bCs/>
                <w:color w:val="1F3864"/>
                <w:sz w:val="17"/>
                <w:szCs w:val="17"/>
              </w:rPr>
              <w:t xml:space="preserve">What the subscriber gets</w:t>
            </w:r>
          </w:p>
        </w:tc>
        <w:tc>
          <w:tcPr>
            <w:tcW w:type="dxa" w:w="2200"/>
            <w:tcMar>
              <w:top w:type="dxa" w:w="70"/>
              <w:left w:type="dxa" w:w="90"/>
              <w:bottom w:type="dxa" w:w="70"/>
              <w:right w:type="dxa" w:w="90"/>
            </w:tcMar>
          </w:tcPr>
          <w:p>
            <w:pPr>
              <w:spacing w:after="0" w:line="252"/>
              <w:jc w:val="left"/>
            </w:pPr>
            <w:r>
              <w:rPr>
                <w:rFonts w:ascii="Verdana" w:cs="Verdana" w:eastAsia="Verdana" w:hAnsi="Verdana"/>
                <w:b/>
                <w:bCs/>
                <w:color w:val="1F3864"/>
                <w:sz w:val="17"/>
                <w:szCs w:val="17"/>
              </w:rPr>
              <w:t xml:space="preserve">Status</w:t>
            </w:r>
          </w:p>
        </w:tc>
      </w:tr>
      <w:tr>
        <w:tc>
          <w:tcPr>
            <w:tcW w:type="dxa" w:w="2200"/>
            <w:tcMar>
              <w:top w:type="dxa" w:w="70"/>
              <w:left w:type="dxa" w:w="90"/>
              <w:bottom w:type="dxa" w:w="70"/>
              <w:right w:type="dxa" w:w="90"/>
            </w:tcMar>
          </w:tcPr>
          <w:p>
            <w:pPr>
              <w:spacing w:after="0" w:line="252"/>
              <w:jc w:val="left"/>
            </w:pPr>
            <w:r>
              <w:rPr>
                <w:rFonts w:ascii="Verdana" w:cs="Verdana" w:eastAsia="Verdana" w:hAnsi="Verdana"/>
                <w:b/>
                <w:bCs/>
                <w:color w:val="2B2B2B"/>
                <w:sz w:val="18"/>
                <w:szCs w:val="18"/>
              </w:rPr>
              <w:t xml:space="preserve">My Endings</w:t>
            </w:r>
          </w:p>
        </w:tc>
        <w:tc>
          <w:tcPr>
            <w:tcW w:type="dxa" w:w="4600"/>
            <w:tcMar>
              <w:top w:type="dxa" w:w="70"/>
              <w:left w:type="dxa" w:w="90"/>
              <w:bottom w:type="dxa" w:w="70"/>
              <w:right w:type="dxa" w:w="90"/>
            </w:tcMar>
          </w:tcPr>
          <w:p>
            <w:pPr>
              <w:spacing w:after="0" w:line="252"/>
              <w:jc w:val="left"/>
            </w:pPr>
            <w:r>
              <w:rPr>
                <w:rFonts w:ascii="Verdana" w:cs="Verdana" w:eastAsia="Verdana" w:hAnsi="Verdana"/>
                <w:b w:val="false"/>
                <w:bCs w:val="false"/>
                <w:color w:val="2B2B2B"/>
                <w:sz w:val="18"/>
                <w:szCs w:val="18"/>
              </w:rPr>
              <w:t xml:space="preserve">Choose how the story ends across branching narratives</w:t>
            </w:r>
          </w:p>
        </w:tc>
        <w:tc>
          <w:tcPr>
            <w:tcW w:type="dxa" w:w="2200"/>
            <w:tcMar>
              <w:top w:type="dxa" w:w="70"/>
              <w:left w:type="dxa" w:w="90"/>
              <w:bottom w:type="dxa" w:w="70"/>
              <w:right w:type="dxa" w:w="90"/>
            </w:tcMar>
          </w:tcPr>
          <w:p>
            <w:pPr>
              <w:spacing w:after="0" w:line="252"/>
              <w:jc w:val="left"/>
            </w:pPr>
            <w:r>
              <w:rPr>
                <w:rFonts w:ascii="Verdana" w:cs="Verdana" w:eastAsia="Verdana" w:hAnsi="Verdana"/>
                <w:b w:val="false"/>
                <w:bCs w:val="false"/>
                <w:color w:val="2B2B2B"/>
                <w:sz w:val="18"/>
                <w:szCs w:val="18"/>
              </w:rPr>
              <w:t xml:space="preserve">Live within FastME</w:t>
            </w:r>
          </w:p>
        </w:tc>
      </w:tr>
      <w:tr>
        <w:tc>
          <w:tcPr>
            <w:tcW w:type="dxa" w:w="2200"/>
            <w:tcMar>
              <w:top w:type="dxa" w:w="70"/>
              <w:left w:type="dxa" w:w="90"/>
              <w:bottom w:type="dxa" w:w="70"/>
              <w:right w:type="dxa" w:w="90"/>
            </w:tcMar>
          </w:tcPr>
          <w:p>
            <w:pPr>
              <w:spacing w:after="0" w:line="252"/>
              <w:jc w:val="left"/>
            </w:pPr>
            <w:r>
              <w:rPr>
                <w:rFonts w:ascii="Verdana" w:cs="Verdana" w:eastAsia="Verdana" w:hAnsi="Verdana"/>
                <w:b/>
                <w:bCs/>
                <w:color w:val="2B2B2B"/>
                <w:sz w:val="18"/>
                <w:szCs w:val="18"/>
              </w:rPr>
              <w:t xml:space="preserve">StarME</w:t>
            </w:r>
          </w:p>
        </w:tc>
        <w:tc>
          <w:tcPr>
            <w:tcW w:type="dxa" w:w="4600"/>
            <w:tcMar>
              <w:top w:type="dxa" w:w="70"/>
              <w:left w:type="dxa" w:w="90"/>
              <w:bottom w:type="dxa" w:w="70"/>
              <w:right w:type="dxa" w:w="90"/>
            </w:tcMar>
          </w:tcPr>
          <w:p>
            <w:pPr>
              <w:spacing w:after="0" w:line="252"/>
              <w:jc w:val="left"/>
            </w:pPr>
            <w:r>
              <w:rPr>
                <w:rFonts w:ascii="Verdana" w:cs="Verdana" w:eastAsia="Verdana" w:hAnsi="Verdana"/>
                <w:b w:val="false"/>
                <w:bCs w:val="false"/>
                <w:color w:val="2B2B2B"/>
                <w:sz w:val="18"/>
                <w:szCs w:val="18"/>
              </w:rPr>
              <w:t xml:space="preserve">Star as the lead of your own Micro Drama</w:t>
            </w:r>
          </w:p>
        </w:tc>
        <w:tc>
          <w:tcPr>
            <w:tcW w:type="dxa" w:w="2200"/>
            <w:tcMar>
              <w:top w:type="dxa" w:w="70"/>
              <w:left w:type="dxa" w:w="90"/>
              <w:bottom w:type="dxa" w:w="70"/>
              <w:right w:type="dxa" w:w="90"/>
            </w:tcMar>
          </w:tcPr>
          <w:p>
            <w:pPr>
              <w:spacing w:after="0" w:line="252"/>
              <w:jc w:val="left"/>
            </w:pPr>
            <w:r>
              <w:rPr>
                <w:rFonts w:ascii="Verdana" w:cs="Verdana" w:eastAsia="Verdana" w:hAnsi="Verdana"/>
                <w:b w:val="false"/>
                <w:bCs w:val="false"/>
                <w:color w:val="2B2B2B"/>
                <w:sz w:val="18"/>
                <w:szCs w:val="18"/>
              </w:rPr>
              <w:t xml:space="preserve">This note: Phase 1</w:t>
            </w:r>
          </w:p>
        </w:tc>
      </w:tr>
      <w:tr>
        <w:tc>
          <w:tcPr>
            <w:tcW w:type="dxa" w:w="2200"/>
            <w:tcMar>
              <w:top w:type="dxa" w:w="70"/>
              <w:left w:type="dxa" w:w="90"/>
              <w:bottom w:type="dxa" w:w="70"/>
              <w:right w:type="dxa" w:w="90"/>
            </w:tcMar>
          </w:tcPr>
          <w:p>
            <w:pPr>
              <w:spacing w:after="0" w:line="252"/>
              <w:jc w:val="left"/>
            </w:pPr>
            <w:r>
              <w:rPr>
                <w:rFonts w:ascii="Verdana" w:cs="Verdana" w:eastAsia="Verdana" w:hAnsi="Verdana"/>
                <w:b/>
                <w:bCs/>
                <w:color w:val="2B2B2B"/>
                <w:sz w:val="18"/>
                <w:szCs w:val="18"/>
              </w:rPr>
              <w:t xml:space="preserve">StarME Duet</w:t>
            </w:r>
          </w:p>
        </w:tc>
        <w:tc>
          <w:tcPr>
            <w:tcW w:type="dxa" w:w="4600"/>
            <w:tcMar>
              <w:top w:type="dxa" w:w="70"/>
              <w:left w:type="dxa" w:w="90"/>
              <w:bottom w:type="dxa" w:w="70"/>
              <w:right w:type="dxa" w:w="90"/>
            </w:tcMar>
          </w:tcPr>
          <w:p>
            <w:pPr>
              <w:spacing w:after="0" w:line="252"/>
              <w:jc w:val="left"/>
            </w:pPr>
            <w:r>
              <w:rPr>
                <w:rFonts w:ascii="Verdana" w:cs="Verdana" w:eastAsia="Verdana" w:hAnsi="Verdana"/>
                <w:b w:val="false"/>
                <w:bCs w:val="false"/>
                <w:color w:val="2B2B2B"/>
                <w:sz w:val="18"/>
                <w:szCs w:val="18"/>
              </w:rPr>
              <w:t xml:space="preserve">Two consenting subscribers co-star in one drama</w:t>
            </w:r>
          </w:p>
        </w:tc>
        <w:tc>
          <w:tcPr>
            <w:tcW w:type="dxa" w:w="2200"/>
            <w:tcMar>
              <w:top w:type="dxa" w:w="70"/>
              <w:left w:type="dxa" w:w="90"/>
              <w:bottom w:type="dxa" w:w="70"/>
              <w:right w:type="dxa" w:w="90"/>
            </w:tcMar>
          </w:tcPr>
          <w:p>
            <w:pPr>
              <w:spacing w:after="0" w:line="252"/>
              <w:jc w:val="left"/>
            </w:pPr>
            <w:r>
              <w:rPr>
                <w:rFonts w:ascii="Verdana" w:cs="Verdana" w:eastAsia="Verdana" w:hAnsi="Verdana"/>
                <w:b w:val="false"/>
                <w:bCs w:val="false"/>
                <w:color w:val="2B2B2B"/>
                <w:sz w:val="18"/>
                <w:szCs w:val="18"/>
              </w:rPr>
              <w:t xml:space="preserve">Phase 1.5</w:t>
            </w:r>
          </w:p>
        </w:tc>
      </w:tr>
      <w:tr>
        <w:tc>
          <w:tcPr>
            <w:tcW w:type="dxa" w:w="2200"/>
            <w:tcMar>
              <w:top w:type="dxa" w:w="70"/>
              <w:left w:type="dxa" w:w="90"/>
              <w:bottom w:type="dxa" w:w="70"/>
              <w:right w:type="dxa" w:w="90"/>
            </w:tcMar>
          </w:tcPr>
          <w:p>
            <w:pPr>
              <w:spacing w:after="0" w:line="252"/>
              <w:jc w:val="left"/>
            </w:pPr>
            <w:r>
              <w:rPr>
                <w:rFonts w:ascii="Verdana" w:cs="Verdana" w:eastAsia="Verdana" w:hAnsi="Verdana"/>
                <w:b/>
                <w:bCs/>
                <w:color w:val="2B2B2B"/>
                <w:sz w:val="18"/>
                <w:szCs w:val="18"/>
              </w:rPr>
              <w:t xml:space="preserve">Star With The Stars</w:t>
            </w:r>
          </w:p>
        </w:tc>
        <w:tc>
          <w:tcPr>
            <w:tcW w:type="dxa" w:w="4600"/>
            <w:tcMar>
              <w:top w:type="dxa" w:w="70"/>
              <w:left w:type="dxa" w:w="90"/>
              <w:bottom w:type="dxa" w:w="70"/>
              <w:right w:type="dxa" w:w="90"/>
            </w:tcMar>
          </w:tcPr>
          <w:p>
            <w:pPr>
              <w:spacing w:after="0" w:line="252"/>
              <w:jc w:val="left"/>
            </w:pPr>
            <w:r>
              <w:rPr>
                <w:rFonts w:ascii="Verdana" w:cs="Verdana" w:eastAsia="Verdana" w:hAnsi="Verdana"/>
                <w:b w:val="false"/>
                <w:bCs w:val="false"/>
                <w:color w:val="2B2B2B"/>
                <w:sz w:val="18"/>
                <w:szCs w:val="18"/>
              </w:rPr>
              <w:t xml:space="preserve">Act alongside licensed public figures</w:t>
            </w:r>
          </w:p>
        </w:tc>
        <w:tc>
          <w:tcPr>
            <w:tcW w:type="dxa" w:w="2200"/>
            <w:tcMar>
              <w:top w:type="dxa" w:w="70"/>
              <w:left w:type="dxa" w:w="90"/>
              <w:bottom w:type="dxa" w:w="70"/>
              <w:right w:type="dxa" w:w="90"/>
            </w:tcMar>
          </w:tcPr>
          <w:p>
            <w:pPr>
              <w:spacing w:after="0" w:line="252"/>
              <w:jc w:val="left"/>
            </w:pPr>
            <w:r>
              <w:rPr>
                <w:rFonts w:ascii="Verdana" w:cs="Verdana" w:eastAsia="Verdana" w:hAnsi="Verdana"/>
                <w:b w:val="false"/>
                <w:bCs w:val="false"/>
                <w:color w:val="2B2B2B"/>
                <w:sz w:val="18"/>
                <w:szCs w:val="18"/>
              </w:rPr>
              <w:t xml:space="preserve">Phase 2</w:t>
            </w:r>
          </w:p>
        </w:tc>
      </w:tr>
      <w:tr>
        <w:tc>
          <w:tcPr>
            <w:tcW w:type="dxa" w:w="2200"/>
            <w:tcMar>
              <w:top w:type="dxa" w:w="70"/>
              <w:left w:type="dxa" w:w="90"/>
              <w:bottom w:type="dxa" w:w="70"/>
              <w:right w:type="dxa" w:w="90"/>
            </w:tcMar>
          </w:tcPr>
          <w:p>
            <w:pPr>
              <w:spacing w:after="0" w:line="252"/>
              <w:jc w:val="left"/>
            </w:pPr>
            <w:r>
              <w:rPr>
                <w:rFonts w:ascii="Verdana" w:cs="Verdana" w:eastAsia="Verdana" w:hAnsi="Verdana"/>
                <w:b/>
                <w:bCs/>
                <w:color w:val="2B2B2B"/>
                <w:sz w:val="18"/>
                <w:szCs w:val="18"/>
              </w:rPr>
              <w:t xml:space="preserve">My World</w:t>
            </w:r>
          </w:p>
        </w:tc>
        <w:tc>
          <w:tcPr>
            <w:tcW w:type="dxa" w:w="4600"/>
            <w:tcMar>
              <w:top w:type="dxa" w:w="70"/>
              <w:left w:type="dxa" w:w="90"/>
              <w:bottom w:type="dxa" w:w="70"/>
              <w:right w:type="dxa" w:w="90"/>
            </w:tcMar>
          </w:tcPr>
          <w:p>
            <w:pPr>
              <w:spacing w:after="0" w:line="252"/>
              <w:jc w:val="left"/>
            </w:pPr>
            <w:r>
              <w:rPr>
                <w:rFonts w:ascii="Verdana" w:cs="Verdana" w:eastAsia="Verdana" w:hAnsi="Verdana"/>
                <w:b w:val="false"/>
                <w:bCs w:val="false"/>
                <w:color w:val="2B2B2B"/>
                <w:sz w:val="18"/>
                <w:szCs w:val="18"/>
              </w:rPr>
              <w:t xml:space="preserve">A persistent personal story universe across concepts</w:t>
            </w:r>
          </w:p>
        </w:tc>
        <w:tc>
          <w:tcPr>
            <w:tcW w:type="dxa" w:w="2200"/>
            <w:tcMar>
              <w:top w:type="dxa" w:w="70"/>
              <w:left w:type="dxa" w:w="90"/>
              <w:bottom w:type="dxa" w:w="70"/>
              <w:right w:type="dxa" w:w="90"/>
            </w:tcMar>
          </w:tcPr>
          <w:p>
            <w:pPr>
              <w:spacing w:after="0" w:line="252"/>
              <w:jc w:val="left"/>
            </w:pPr>
            <w:r>
              <w:rPr>
                <w:rFonts w:ascii="Verdana" w:cs="Verdana" w:eastAsia="Verdana" w:hAnsi="Verdana"/>
                <w:b w:val="false"/>
                <w:bCs w:val="false"/>
                <w:color w:val="2B2B2B"/>
                <w:sz w:val="18"/>
                <w:szCs w:val="18"/>
              </w:rPr>
              <w:t xml:space="preserve">Horizon</w:t>
            </w:r>
          </w:p>
        </w:tc>
      </w:tr>
    </w:tbl>
    <w:p>
      <w:pPr>
        <w:spacing w:after="80"/>
      </w:pPr>
    </w:p>
    <w:p>
      <w:pPr>
        <w:spacing w:after="140" w:line="276"/>
        <w:jc w:val="both"/>
      </w:pPr>
      <w:r>
        <w:rPr>
          <w:rFonts w:ascii="Verdana" w:cs="Verdana" w:eastAsia="Verdana" w:hAnsi="Verdana"/>
          <w:color w:val="2B2B2B"/>
          <w:sz w:val="19"/>
          <w:szCs w:val="19"/>
        </w:rPr>
        <w:t xml:space="preserve">Each format shares one identity capture, one consent ledger, one credit wallet and one render pipeline. Build once, monetise across the ladder.</w:t>
      </w:r>
    </w:p>
    <w:p>
      <w:pPr>
        <w:pBdr>
          <w:top w:val="single" w:color="9AA7BC" w:sz="4"/>
        </w:pBdr>
        <w:spacing w:after="160" w:before="340"/>
      </w:pPr>
      <w:r>
        <w:rPr>
          <w:rFonts w:ascii="Verdana" w:cs="Verdana" w:eastAsia="Verdana" w:hAnsi="Verdana"/>
          <w:b/>
          <w:bCs/>
          <w:color w:val="C00000"/>
          <w:sz w:val="17"/>
          <w:szCs w:val="17"/>
        </w:rPr>
        <w:t xml:space="preserve">04</w:t>
      </w:r>
      <w:r>
        <w:rPr>
          <w:rFonts w:ascii="Verdana" w:cs="Verdana" w:eastAsia="Verdana" w:hAnsi="Verdana"/>
          <w:b/>
          <w:bCs/>
          <w:color w:val="1F3864"/>
          <w:sz w:val="24"/>
          <w:szCs w:val="24"/>
        </w:rPr>
        <w:t xml:space="preserve">   THE CONSUMER JOURNEY</w:t>
      </w:r>
    </w:p>
    <w:p>
      <w:pPr>
        <w:spacing w:after="140" w:line="276"/>
        <w:jc w:val="both"/>
      </w:pPr>
      <w:r>
        <w:rPr>
          <w:rFonts w:ascii="Verdana" w:cs="Verdana" w:eastAsia="Verdana" w:hAnsi="Verdana"/>
          <w:color w:val="2B2B2B"/>
          <w:sz w:val="19"/>
          <w:szCs w:val="19"/>
        </w:rPr>
        <w:t xml:space="preserve">The journey is engineered so that the paywall arrives at the moment of maximum desire and every subsequent step increases commitment. End to end:</w:t>
      </w:r>
    </w:p>
    <w:p>
      <w:pPr>
        <w:tabs>
          <w:tab w:val="left" w:pos="360"/>
        </w:tabs>
        <w:spacing w:after="110" w:line="276"/>
        <w:ind w:left="360" w:hanging="360"/>
        <w:jc w:val="both"/>
      </w:pPr>
      <w:r>
        <w:rPr>
          <w:rFonts w:ascii="Verdana" w:cs="Verdana" w:eastAsia="Verdana" w:hAnsi="Verdana"/>
          <w:b/>
          <w:bCs/>
          <w:color w:val="1F3864"/>
          <w:sz w:val="19"/>
          <w:szCs w:val="19"/>
        </w:rPr>
        <w:t xml:space="preserve">1.</w:t>
      </w:r>
      <w:r>
        <w:rPr>
          <w:rFonts w:ascii="Verdana" w:cs="Verdana" w:eastAsia="Verdana" w:hAnsi="Verdana"/>
          <w:color w:val="2B2B2B"/>
          <w:sz w:val="19"/>
          <w:szCs w:val="19"/>
        </w:rPr>
        <w:t xml:space="preserve">	Discovery. A dedicated StarME rail inside Fast TV plus paid social creatives showing an ordinary selfie transforming into a drama lead: the strongest thumb-stopping asset the category has seen. The promise is explicit: Star in your own Micro Drama.</w:t>
      </w:r>
    </w:p>
    <w:p>
      <w:pPr>
        <w:tabs>
          <w:tab w:val="left" w:pos="360"/>
        </w:tabs>
        <w:spacing w:after="110" w:line="276"/>
        <w:ind w:left="360" w:hanging="360"/>
        <w:jc w:val="both"/>
      </w:pPr>
      <w:r>
        <w:rPr>
          <w:rFonts w:ascii="Verdana" w:cs="Verdana" w:eastAsia="Verdana" w:hAnsi="Verdana"/>
          <w:b/>
          <w:bCs/>
          <w:color w:val="1F3864"/>
          <w:sz w:val="19"/>
          <w:szCs w:val="19"/>
        </w:rPr>
        <w:t xml:space="preserve">2.</w:t>
      </w:r>
      <w:r>
        <w:rPr>
          <w:rFonts w:ascii="Verdana" w:cs="Verdana" w:eastAsia="Verdana" w:hAnsi="Verdana"/>
          <w:color w:val="2B2B2B"/>
          <w:sz w:val="19"/>
          <w:szCs w:val="19"/>
        </w:rPr>
        <w:t xml:space="preserve">	Subscription gate. On tap, non subscribers are taken straight to the Fast TV subscription flow; existing subscribers see the StarME credit store. Subscription immediately grants a welcome credit balance so the first act after payment is a reward, not another ask.</w:t>
      </w:r>
    </w:p>
    <w:p>
      <w:pPr>
        <w:tabs>
          <w:tab w:val="left" w:pos="360"/>
        </w:tabs>
        <w:spacing w:after="110" w:line="276"/>
        <w:ind w:left="360" w:hanging="360"/>
        <w:jc w:val="both"/>
      </w:pPr>
      <w:r>
        <w:rPr>
          <w:rFonts w:ascii="Verdana" w:cs="Verdana" w:eastAsia="Verdana" w:hAnsi="Verdana"/>
          <w:b/>
          <w:bCs/>
          <w:color w:val="1F3864"/>
          <w:sz w:val="19"/>
          <w:szCs w:val="19"/>
        </w:rPr>
        <w:t xml:space="preserve">3.</w:t>
      </w:r>
      <w:r>
        <w:rPr>
          <w:rFonts w:ascii="Verdana" w:cs="Verdana" w:eastAsia="Verdana" w:hAnsi="Verdana"/>
          <w:color w:val="2B2B2B"/>
          <w:sz w:val="19"/>
          <w:szCs w:val="19"/>
        </w:rPr>
        <w:t xml:space="preserve">	Identity capture. A guided selfie flow (front facing, neutral light, defined framing) or upload in a defined format. A liveness check confirms the face belongs to the person holding the phone. The consent screen is plain language: what we generate, how long we retain the biometric template, how to delete it.</w:t>
      </w:r>
    </w:p>
    <w:p>
      <w:pPr>
        <w:tabs>
          <w:tab w:val="left" w:pos="360"/>
        </w:tabs>
        <w:spacing w:after="110" w:line="276"/>
        <w:ind w:left="360" w:hanging="360"/>
        <w:jc w:val="both"/>
      </w:pPr>
      <w:r>
        <w:rPr>
          <w:rFonts w:ascii="Verdana" w:cs="Verdana" w:eastAsia="Verdana" w:hAnsi="Verdana"/>
          <w:b/>
          <w:bCs/>
          <w:color w:val="1F3864"/>
          <w:sz w:val="19"/>
          <w:szCs w:val="19"/>
        </w:rPr>
        <w:t xml:space="preserve">4.</w:t>
      </w:r>
      <w:r>
        <w:rPr>
          <w:rFonts w:ascii="Verdana" w:cs="Verdana" w:eastAsia="Verdana" w:hAnsi="Verdana"/>
          <w:color w:val="2B2B2B"/>
          <w:sz w:val="19"/>
          <w:szCs w:val="19"/>
        </w:rPr>
        <w:t xml:space="preserve">	Concept selection. Six launch concepts, each with a 15 second trailer: Love Story, Action Drama, Family Saga, Revenge Thriller, Campus Romance, Comedy. Concepts map to the emotional hook rankings already validated in the Fast TV India marketing work, where forbidden romance, rich boy poor girl and family conflict lead.</w:t>
      </w:r>
    </w:p>
    <w:p>
      <w:pPr>
        <w:tabs>
          <w:tab w:val="left" w:pos="360"/>
        </w:tabs>
        <w:spacing w:after="110" w:line="276"/>
        <w:ind w:left="360" w:hanging="360"/>
        <w:jc w:val="both"/>
      </w:pPr>
      <w:r>
        <w:rPr>
          <w:rFonts w:ascii="Verdana" w:cs="Verdana" w:eastAsia="Verdana" w:hAnsi="Verdana"/>
          <w:b/>
          <w:bCs/>
          <w:color w:val="1F3864"/>
          <w:sz w:val="19"/>
          <w:szCs w:val="19"/>
        </w:rPr>
        <w:t xml:space="preserve">5.</w:t>
      </w:r>
      <w:r>
        <w:rPr>
          <w:rFonts w:ascii="Verdana" w:cs="Verdana" w:eastAsia="Verdana" w:hAnsi="Verdana"/>
          <w:color w:val="2B2B2B"/>
          <w:sz w:val="19"/>
          <w:szCs w:val="19"/>
        </w:rPr>
        <w:t xml:space="preserve">	Package selection. One episode to a maximum of ten, across three to four credit tiers (Section 05). The subscriber picks their role variant where the shell offers a choice of lead.</w:t>
      </w:r>
    </w:p>
    <w:p>
      <w:pPr>
        <w:tabs>
          <w:tab w:val="left" w:pos="360"/>
        </w:tabs>
        <w:spacing w:after="110" w:line="276"/>
        <w:ind w:left="360" w:hanging="360"/>
        <w:jc w:val="both"/>
      </w:pPr>
      <w:r>
        <w:rPr>
          <w:rFonts w:ascii="Verdana" w:cs="Verdana" w:eastAsia="Verdana" w:hAnsi="Verdana"/>
          <w:b/>
          <w:bCs/>
          <w:color w:val="1F3864"/>
          <w:sz w:val="19"/>
          <w:szCs w:val="19"/>
        </w:rPr>
        <w:t xml:space="preserve">6.</w:t>
      </w:r>
      <w:r>
        <w:rPr>
          <w:rFonts w:ascii="Verdana" w:cs="Verdana" w:eastAsia="Verdana" w:hAnsi="Verdana"/>
          <w:color w:val="2B2B2B"/>
          <w:sz w:val="19"/>
          <w:szCs w:val="19"/>
        </w:rPr>
        <w:t xml:space="preserve">	Confirmation and anticipation. Your Micro Drama premieres in 12 hours. A countdown card sits in the app; push and WhatsApp notifications build the premiere moment. Anticipation is a feature, not a delay to apologise for.</w:t>
      </w:r>
    </w:p>
    <w:p>
      <w:pPr>
        <w:tabs>
          <w:tab w:val="left" w:pos="360"/>
        </w:tabs>
        <w:spacing w:after="110" w:line="276"/>
        <w:ind w:left="360" w:hanging="360"/>
        <w:jc w:val="both"/>
      </w:pPr>
      <w:r>
        <w:rPr>
          <w:rFonts w:ascii="Verdana" w:cs="Verdana" w:eastAsia="Verdana" w:hAnsi="Verdana"/>
          <w:b/>
          <w:bCs/>
          <w:color w:val="1F3864"/>
          <w:sz w:val="19"/>
          <w:szCs w:val="19"/>
        </w:rPr>
        <w:t xml:space="preserve">7.</w:t>
      </w:r>
      <w:r>
        <w:rPr>
          <w:rFonts w:ascii="Verdana" w:cs="Verdana" w:eastAsia="Verdana" w:hAnsi="Verdana"/>
          <w:color w:val="2B2B2B"/>
          <w:sz w:val="19"/>
          <w:szCs w:val="19"/>
        </w:rPr>
        <w:t xml:space="preserve">	The premiere. A personal premiere screen: a poster with their face, their name in the title billing, then the episodes. This screen is designed to be screenshotted.</w:t>
      </w:r>
    </w:p>
    <w:p>
      <w:pPr>
        <w:tabs>
          <w:tab w:val="left" w:pos="360"/>
        </w:tabs>
        <w:spacing w:after="110" w:line="276"/>
        <w:ind w:left="360" w:hanging="360"/>
        <w:jc w:val="both"/>
      </w:pPr>
      <w:r>
        <w:rPr>
          <w:rFonts w:ascii="Verdana" w:cs="Verdana" w:eastAsia="Verdana" w:hAnsi="Verdana"/>
          <w:b/>
          <w:bCs/>
          <w:color w:val="1F3864"/>
          <w:sz w:val="19"/>
          <w:szCs w:val="19"/>
        </w:rPr>
        <w:t xml:space="preserve">8.</w:t>
      </w:r>
      <w:r>
        <w:rPr>
          <w:rFonts w:ascii="Verdana" w:cs="Verdana" w:eastAsia="Verdana" w:hAnsi="Verdana"/>
          <w:color w:val="2B2B2B"/>
          <w:sz w:val="19"/>
          <w:szCs w:val="19"/>
        </w:rPr>
        <w:t xml:space="preserve">	Share and return. One tap share of the poster and a 15 second personal trailer with a Made with FastME on Fast TV end frame. Full episodes stay behind the subscription; trailers travel free and do the marketing.</w:t>
      </w:r>
    </w:p>
    <w:p>
      <w:pPr>
        <w:pBdr>
          <w:top w:val="single" w:color="9AA7BC" w:sz="4"/>
        </w:pBdr>
        <w:spacing w:after="160" w:before="340"/>
      </w:pPr>
      <w:r>
        <w:rPr>
          <w:rFonts w:ascii="Verdana" w:cs="Verdana" w:eastAsia="Verdana" w:hAnsi="Verdana"/>
          <w:b/>
          <w:bCs/>
          <w:color w:val="C00000"/>
          <w:sz w:val="17"/>
          <w:szCs w:val="17"/>
        </w:rPr>
        <w:t xml:space="preserve">05</w:t>
      </w:r>
      <w:r>
        <w:rPr>
          <w:rFonts w:ascii="Verdana" w:cs="Verdana" w:eastAsia="Verdana" w:hAnsi="Verdana"/>
          <w:b/>
          <w:bCs/>
          <w:color w:val="1F3864"/>
          <w:sz w:val="24"/>
          <w:szCs w:val="24"/>
        </w:rPr>
        <w:t xml:space="preserve">   CREDIT ECONOMY AND PRICING ARCHITECTURE</w:t>
      </w:r>
    </w:p>
    <w:p>
      <w:pPr>
        <w:spacing w:after="140" w:line="276"/>
        <w:jc w:val="both"/>
      </w:pPr>
      <w:r>
        <w:rPr>
          <w:rFonts w:ascii="Verdana" w:cs="Verdana" w:eastAsia="Verdana" w:hAnsi="Verdana"/>
          <w:color w:val="2B2B2B"/>
          <w:sz w:val="19"/>
          <w:szCs w:val="19"/>
        </w:rPr>
        <w:t xml:space="preserve">Fast TV India runs subscription first at Rs 499 with coin packs reserved for international markets. StarME is the clean reason to introduce a premium credit layer in India on top of the base subscription without disturbing that model: the subscription buys the world of Micro Drama; credits buy your place inside it. Illustrative tiering for financial modelling, to be pressure tested against actual render cost at Gate 1:</w:t>
      </w:r>
    </w:p>
    <w:tbl>
      <w:tblPr>
        <w:tblW w:type="dxa" w:w="9000"/>
        <w:tblBorders>
          <w:top w:val="single" w:color="C8CDD6" w:sz="3"/>
          <w:left w:val="none" w:color="FFFFFF" w:sz="0"/>
          <w:bottom w:val="single" w:color="C8CDD6" w:sz="3"/>
          <w:right w:val="none" w:color="FFFFFF" w:sz="0"/>
          <w:insideH w:val="single" w:color="DDE1E8" w:sz="3"/>
          <w:insideV w:val="none" w:color="FFFFFF" w:sz="0"/>
        </w:tblBorders>
      </w:tblPr>
      <w:tblGrid>
        <w:gridCol w:w="2000"/>
        <w:gridCol w:w="1400"/>
        <w:gridCol w:w="2000"/>
        <w:gridCol w:w="3600"/>
      </w:tblGrid>
      <w:tr>
        <w:tc>
          <w:tcPr>
            <w:tcW w:type="dxa" w:w="2000"/>
            <w:tcMar>
              <w:top w:type="dxa" w:w="70"/>
              <w:left w:type="dxa" w:w="90"/>
              <w:bottom w:type="dxa" w:w="70"/>
              <w:right w:type="dxa" w:w="90"/>
            </w:tcMar>
          </w:tcPr>
          <w:p>
            <w:pPr>
              <w:spacing w:after="0" w:line="252"/>
              <w:jc w:val="left"/>
            </w:pPr>
            <w:r>
              <w:rPr>
                <w:rFonts w:ascii="Verdana" w:cs="Verdana" w:eastAsia="Verdana" w:hAnsi="Verdana"/>
                <w:b/>
                <w:bCs/>
                <w:color w:val="1F3864"/>
                <w:sz w:val="17"/>
                <w:szCs w:val="17"/>
              </w:rPr>
              <w:t xml:space="preserve">Package</w:t>
            </w:r>
          </w:p>
        </w:tc>
        <w:tc>
          <w:tcPr>
            <w:tcW w:type="dxa" w:w="1400"/>
            <w:tcMar>
              <w:top w:type="dxa" w:w="70"/>
              <w:left w:type="dxa" w:w="90"/>
              <w:bottom w:type="dxa" w:w="70"/>
              <w:right w:type="dxa" w:w="90"/>
            </w:tcMar>
          </w:tcPr>
          <w:p>
            <w:pPr>
              <w:spacing w:after="0" w:line="252"/>
              <w:jc w:val="left"/>
            </w:pPr>
            <w:r>
              <w:rPr>
                <w:rFonts w:ascii="Verdana" w:cs="Verdana" w:eastAsia="Verdana" w:hAnsi="Verdana"/>
                <w:b/>
                <w:bCs/>
                <w:color w:val="1F3864"/>
                <w:sz w:val="17"/>
                <w:szCs w:val="17"/>
              </w:rPr>
              <w:t xml:space="preserve">Episodes</w:t>
            </w:r>
          </w:p>
        </w:tc>
        <w:tc>
          <w:tcPr>
            <w:tcW w:type="dxa" w:w="2000"/>
            <w:tcMar>
              <w:top w:type="dxa" w:w="70"/>
              <w:left w:type="dxa" w:w="90"/>
              <w:bottom w:type="dxa" w:w="70"/>
              <w:right w:type="dxa" w:w="90"/>
            </w:tcMar>
          </w:tcPr>
          <w:p>
            <w:pPr>
              <w:spacing w:after="0" w:line="252"/>
              <w:jc w:val="left"/>
            </w:pPr>
            <w:r>
              <w:rPr>
                <w:rFonts w:ascii="Verdana" w:cs="Verdana" w:eastAsia="Verdana" w:hAnsi="Verdana"/>
                <w:b/>
                <w:bCs/>
                <w:color w:val="1F3864"/>
                <w:sz w:val="17"/>
                <w:szCs w:val="17"/>
              </w:rPr>
              <w:t xml:space="preserve">Anchor price</w:t>
            </w:r>
          </w:p>
        </w:tc>
        <w:tc>
          <w:tcPr>
            <w:tcW w:type="dxa" w:w="3600"/>
            <w:tcMar>
              <w:top w:type="dxa" w:w="70"/>
              <w:left w:type="dxa" w:w="90"/>
              <w:bottom w:type="dxa" w:w="70"/>
              <w:right w:type="dxa" w:w="90"/>
            </w:tcMar>
          </w:tcPr>
          <w:p>
            <w:pPr>
              <w:spacing w:after="0" w:line="252"/>
              <w:jc w:val="left"/>
            </w:pPr>
            <w:r>
              <w:rPr>
                <w:rFonts w:ascii="Verdana" w:cs="Verdana" w:eastAsia="Verdana" w:hAnsi="Verdana"/>
                <w:b/>
                <w:bCs/>
                <w:color w:val="1F3864"/>
                <w:sz w:val="17"/>
                <w:szCs w:val="17"/>
              </w:rPr>
              <w:t xml:space="preserve">Contents</w:t>
            </w:r>
          </w:p>
        </w:tc>
      </w:tr>
      <w:tr>
        <w:tc>
          <w:tcPr>
            <w:tcW w:type="dxa" w:w="2000"/>
            <w:tcMar>
              <w:top w:type="dxa" w:w="70"/>
              <w:left w:type="dxa" w:w="90"/>
              <w:bottom w:type="dxa" w:w="70"/>
              <w:right w:type="dxa" w:w="90"/>
            </w:tcMar>
          </w:tcPr>
          <w:p>
            <w:pPr>
              <w:spacing w:after="0" w:line="252"/>
              <w:jc w:val="left"/>
            </w:pPr>
            <w:r>
              <w:rPr>
                <w:rFonts w:ascii="Verdana" w:cs="Verdana" w:eastAsia="Verdana" w:hAnsi="Verdana"/>
                <w:b/>
                <w:bCs/>
                <w:color w:val="2B2B2B"/>
                <w:sz w:val="18"/>
                <w:szCs w:val="18"/>
              </w:rPr>
              <w:t xml:space="preserve">Cameo</w:t>
            </w:r>
          </w:p>
        </w:tc>
        <w:tc>
          <w:tcPr>
            <w:tcW w:type="dxa" w:w="1400"/>
            <w:tcMar>
              <w:top w:type="dxa" w:w="70"/>
              <w:left w:type="dxa" w:w="90"/>
              <w:bottom w:type="dxa" w:w="70"/>
              <w:right w:type="dxa" w:w="90"/>
            </w:tcMar>
          </w:tcPr>
          <w:p>
            <w:pPr>
              <w:spacing w:after="0" w:line="252"/>
              <w:jc w:val="left"/>
            </w:pPr>
            <w:r>
              <w:rPr>
                <w:rFonts w:ascii="Verdana" w:cs="Verdana" w:eastAsia="Verdana" w:hAnsi="Verdana"/>
                <w:b w:val="false"/>
                <w:bCs w:val="false"/>
                <w:color w:val="2B2B2B"/>
                <w:sz w:val="18"/>
                <w:szCs w:val="18"/>
              </w:rPr>
              <w:t xml:space="preserve">1</w:t>
            </w:r>
          </w:p>
        </w:tc>
        <w:tc>
          <w:tcPr>
            <w:tcW w:type="dxa" w:w="2000"/>
            <w:tcMar>
              <w:top w:type="dxa" w:w="70"/>
              <w:left w:type="dxa" w:w="90"/>
              <w:bottom w:type="dxa" w:w="70"/>
              <w:right w:type="dxa" w:w="90"/>
            </w:tcMar>
          </w:tcPr>
          <w:p>
            <w:pPr>
              <w:spacing w:after="0" w:line="252"/>
              <w:jc w:val="left"/>
            </w:pPr>
            <w:r>
              <w:rPr>
                <w:rFonts w:ascii="Verdana" w:cs="Verdana" w:eastAsia="Verdana" w:hAnsi="Verdana"/>
                <w:b w:val="false"/>
                <w:bCs w:val="false"/>
                <w:color w:val="2B2B2B"/>
                <w:sz w:val="18"/>
                <w:szCs w:val="18"/>
              </w:rPr>
              <w:t xml:space="preserve">Rs 199 / $4.99</w:t>
            </w:r>
          </w:p>
        </w:tc>
        <w:tc>
          <w:tcPr>
            <w:tcW w:type="dxa" w:w="3600"/>
            <w:tcMar>
              <w:top w:type="dxa" w:w="70"/>
              <w:left w:type="dxa" w:w="90"/>
              <w:bottom w:type="dxa" w:w="70"/>
              <w:right w:type="dxa" w:w="90"/>
            </w:tcMar>
          </w:tcPr>
          <w:p>
            <w:pPr>
              <w:spacing w:after="0" w:line="252"/>
              <w:jc w:val="left"/>
            </w:pPr>
            <w:r>
              <w:rPr>
                <w:rFonts w:ascii="Verdana" w:cs="Verdana" w:eastAsia="Verdana" w:hAnsi="Verdana"/>
                <w:b w:val="false"/>
                <w:bCs w:val="false"/>
                <w:color w:val="2B2B2B"/>
                <w:sz w:val="18"/>
                <w:szCs w:val="18"/>
              </w:rPr>
              <w:t xml:space="preserve">One personalised episode plus poster</w:t>
            </w:r>
          </w:p>
        </w:tc>
      </w:tr>
      <w:tr>
        <w:tc>
          <w:tcPr>
            <w:tcW w:type="dxa" w:w="2000"/>
            <w:tcMar>
              <w:top w:type="dxa" w:w="70"/>
              <w:left w:type="dxa" w:w="90"/>
              <w:bottom w:type="dxa" w:w="70"/>
              <w:right w:type="dxa" w:w="90"/>
            </w:tcMar>
          </w:tcPr>
          <w:p>
            <w:pPr>
              <w:spacing w:after="0" w:line="252"/>
              <w:jc w:val="left"/>
            </w:pPr>
            <w:r>
              <w:rPr>
                <w:rFonts w:ascii="Verdana" w:cs="Verdana" w:eastAsia="Verdana" w:hAnsi="Verdana"/>
                <w:b/>
                <w:bCs/>
                <w:color w:val="2B2B2B"/>
                <w:sz w:val="18"/>
                <w:szCs w:val="18"/>
              </w:rPr>
              <w:t xml:space="preserve">Lead Debut</w:t>
            </w:r>
          </w:p>
        </w:tc>
        <w:tc>
          <w:tcPr>
            <w:tcW w:type="dxa" w:w="1400"/>
            <w:tcMar>
              <w:top w:type="dxa" w:w="70"/>
              <w:left w:type="dxa" w:w="90"/>
              <w:bottom w:type="dxa" w:w="70"/>
              <w:right w:type="dxa" w:w="90"/>
            </w:tcMar>
          </w:tcPr>
          <w:p>
            <w:pPr>
              <w:spacing w:after="0" w:line="252"/>
              <w:jc w:val="left"/>
            </w:pPr>
            <w:r>
              <w:rPr>
                <w:rFonts w:ascii="Verdana" w:cs="Verdana" w:eastAsia="Verdana" w:hAnsi="Verdana"/>
                <w:b w:val="false"/>
                <w:bCs w:val="false"/>
                <w:color w:val="2B2B2B"/>
                <w:sz w:val="18"/>
                <w:szCs w:val="18"/>
              </w:rPr>
              <w:t xml:space="preserve">3</w:t>
            </w:r>
          </w:p>
        </w:tc>
        <w:tc>
          <w:tcPr>
            <w:tcW w:type="dxa" w:w="2000"/>
            <w:tcMar>
              <w:top w:type="dxa" w:w="70"/>
              <w:left w:type="dxa" w:w="90"/>
              <w:bottom w:type="dxa" w:w="70"/>
              <w:right w:type="dxa" w:w="90"/>
            </w:tcMar>
          </w:tcPr>
          <w:p>
            <w:pPr>
              <w:spacing w:after="0" w:line="252"/>
              <w:jc w:val="left"/>
            </w:pPr>
            <w:r>
              <w:rPr>
                <w:rFonts w:ascii="Verdana" w:cs="Verdana" w:eastAsia="Verdana" w:hAnsi="Verdana"/>
                <w:b w:val="false"/>
                <w:bCs w:val="false"/>
                <w:color w:val="2B2B2B"/>
                <w:sz w:val="18"/>
                <w:szCs w:val="18"/>
              </w:rPr>
              <w:t xml:space="preserve">Rs 499 / $11.99</w:t>
            </w:r>
          </w:p>
        </w:tc>
        <w:tc>
          <w:tcPr>
            <w:tcW w:type="dxa" w:w="3600"/>
            <w:tcMar>
              <w:top w:type="dxa" w:w="70"/>
              <w:left w:type="dxa" w:w="90"/>
              <w:bottom w:type="dxa" w:w="70"/>
              <w:right w:type="dxa" w:w="90"/>
            </w:tcMar>
          </w:tcPr>
          <w:p>
            <w:pPr>
              <w:spacing w:after="0" w:line="252"/>
              <w:jc w:val="left"/>
            </w:pPr>
            <w:r>
              <w:rPr>
                <w:rFonts w:ascii="Verdana" w:cs="Verdana" w:eastAsia="Verdana" w:hAnsi="Verdana"/>
                <w:b w:val="false"/>
                <w:bCs w:val="false"/>
                <w:color w:val="2B2B2B"/>
                <w:sz w:val="18"/>
                <w:szCs w:val="18"/>
              </w:rPr>
              <w:t xml:space="preserve">Three episode arc, poster, personal trailer</w:t>
            </w:r>
          </w:p>
        </w:tc>
      </w:tr>
      <w:tr>
        <w:tc>
          <w:tcPr>
            <w:tcW w:type="dxa" w:w="2000"/>
            <w:tcMar>
              <w:top w:type="dxa" w:w="70"/>
              <w:left w:type="dxa" w:w="90"/>
              <w:bottom w:type="dxa" w:w="70"/>
              <w:right w:type="dxa" w:w="90"/>
            </w:tcMar>
          </w:tcPr>
          <w:p>
            <w:pPr>
              <w:spacing w:after="0" w:line="252"/>
              <w:jc w:val="left"/>
            </w:pPr>
            <w:r>
              <w:rPr>
                <w:rFonts w:ascii="Verdana" w:cs="Verdana" w:eastAsia="Verdana" w:hAnsi="Verdana"/>
                <w:b/>
                <w:bCs/>
                <w:color w:val="2B2B2B"/>
                <w:sz w:val="18"/>
                <w:szCs w:val="18"/>
              </w:rPr>
              <w:t xml:space="preserve">Season Star</w:t>
            </w:r>
          </w:p>
        </w:tc>
        <w:tc>
          <w:tcPr>
            <w:tcW w:type="dxa" w:w="1400"/>
            <w:tcMar>
              <w:top w:type="dxa" w:w="70"/>
              <w:left w:type="dxa" w:w="90"/>
              <w:bottom w:type="dxa" w:w="70"/>
              <w:right w:type="dxa" w:w="90"/>
            </w:tcMar>
          </w:tcPr>
          <w:p>
            <w:pPr>
              <w:spacing w:after="0" w:line="252"/>
              <w:jc w:val="left"/>
            </w:pPr>
            <w:r>
              <w:rPr>
                <w:rFonts w:ascii="Verdana" w:cs="Verdana" w:eastAsia="Verdana" w:hAnsi="Verdana"/>
                <w:b w:val="false"/>
                <w:bCs w:val="false"/>
                <w:color w:val="2B2B2B"/>
                <w:sz w:val="18"/>
                <w:szCs w:val="18"/>
              </w:rPr>
              <w:t xml:space="preserve">5</w:t>
            </w:r>
          </w:p>
        </w:tc>
        <w:tc>
          <w:tcPr>
            <w:tcW w:type="dxa" w:w="2000"/>
            <w:tcMar>
              <w:top w:type="dxa" w:w="70"/>
              <w:left w:type="dxa" w:w="90"/>
              <w:bottom w:type="dxa" w:w="70"/>
              <w:right w:type="dxa" w:w="90"/>
            </w:tcMar>
          </w:tcPr>
          <w:p>
            <w:pPr>
              <w:spacing w:after="0" w:line="252"/>
              <w:jc w:val="left"/>
            </w:pPr>
            <w:r>
              <w:rPr>
                <w:rFonts w:ascii="Verdana" w:cs="Verdana" w:eastAsia="Verdana" w:hAnsi="Verdana"/>
                <w:b w:val="false"/>
                <w:bCs w:val="false"/>
                <w:color w:val="2B2B2B"/>
                <w:sz w:val="18"/>
                <w:szCs w:val="18"/>
              </w:rPr>
              <w:t xml:space="preserve">Rs 749 / $16.99</w:t>
            </w:r>
          </w:p>
        </w:tc>
        <w:tc>
          <w:tcPr>
            <w:tcW w:type="dxa" w:w="3600"/>
            <w:tcMar>
              <w:top w:type="dxa" w:w="70"/>
              <w:left w:type="dxa" w:w="90"/>
              <w:bottom w:type="dxa" w:w="70"/>
              <w:right w:type="dxa" w:w="90"/>
            </w:tcMar>
          </w:tcPr>
          <w:p>
            <w:pPr>
              <w:spacing w:after="0" w:line="252"/>
              <w:jc w:val="left"/>
            </w:pPr>
            <w:r>
              <w:rPr>
                <w:rFonts w:ascii="Verdana" w:cs="Verdana" w:eastAsia="Verdana" w:hAnsi="Verdana"/>
                <w:b w:val="false"/>
                <w:bCs w:val="false"/>
                <w:color w:val="2B2B2B"/>
                <w:sz w:val="18"/>
                <w:szCs w:val="18"/>
              </w:rPr>
              <w:t xml:space="preserve">Five episodes, poster pack, trailer, wall feature</w:t>
            </w:r>
          </w:p>
        </w:tc>
      </w:tr>
      <w:tr>
        <w:tc>
          <w:tcPr>
            <w:tcW w:type="dxa" w:w="2000"/>
            <w:tcMar>
              <w:top w:type="dxa" w:w="70"/>
              <w:left w:type="dxa" w:w="90"/>
              <w:bottom w:type="dxa" w:w="70"/>
              <w:right w:type="dxa" w:w="90"/>
            </w:tcMar>
          </w:tcPr>
          <w:p>
            <w:pPr>
              <w:spacing w:after="0" w:line="252"/>
              <w:jc w:val="left"/>
            </w:pPr>
            <w:r>
              <w:rPr>
                <w:rFonts w:ascii="Verdana" w:cs="Verdana" w:eastAsia="Verdana" w:hAnsi="Verdana"/>
                <w:b/>
                <w:bCs/>
                <w:color w:val="2B2B2B"/>
                <w:sz w:val="18"/>
                <w:szCs w:val="18"/>
              </w:rPr>
              <w:t xml:space="preserve">Superstar</w:t>
            </w:r>
          </w:p>
        </w:tc>
        <w:tc>
          <w:tcPr>
            <w:tcW w:type="dxa" w:w="1400"/>
            <w:tcMar>
              <w:top w:type="dxa" w:w="70"/>
              <w:left w:type="dxa" w:w="90"/>
              <w:bottom w:type="dxa" w:w="70"/>
              <w:right w:type="dxa" w:w="90"/>
            </w:tcMar>
          </w:tcPr>
          <w:p>
            <w:pPr>
              <w:spacing w:after="0" w:line="252"/>
              <w:jc w:val="left"/>
            </w:pPr>
            <w:r>
              <w:rPr>
                <w:rFonts w:ascii="Verdana" w:cs="Verdana" w:eastAsia="Verdana" w:hAnsi="Verdana"/>
                <w:b w:val="false"/>
                <w:bCs w:val="false"/>
                <w:color w:val="2B2B2B"/>
                <w:sz w:val="18"/>
                <w:szCs w:val="18"/>
              </w:rPr>
              <w:t xml:space="preserve">10</w:t>
            </w:r>
          </w:p>
        </w:tc>
        <w:tc>
          <w:tcPr>
            <w:tcW w:type="dxa" w:w="2000"/>
            <w:tcMar>
              <w:top w:type="dxa" w:w="70"/>
              <w:left w:type="dxa" w:w="90"/>
              <w:bottom w:type="dxa" w:w="70"/>
              <w:right w:type="dxa" w:w="90"/>
            </w:tcMar>
          </w:tcPr>
          <w:p>
            <w:pPr>
              <w:spacing w:after="0" w:line="252"/>
              <w:jc w:val="left"/>
            </w:pPr>
            <w:r>
              <w:rPr>
                <w:rFonts w:ascii="Verdana" w:cs="Verdana" w:eastAsia="Verdana" w:hAnsi="Verdana"/>
                <w:b w:val="false"/>
                <w:bCs w:val="false"/>
                <w:color w:val="2B2B2B"/>
                <w:sz w:val="18"/>
                <w:szCs w:val="18"/>
              </w:rPr>
              <w:t xml:space="preserve">Rs 1,299 / $24.99</w:t>
            </w:r>
          </w:p>
        </w:tc>
        <w:tc>
          <w:tcPr>
            <w:tcW w:type="dxa" w:w="3600"/>
            <w:tcMar>
              <w:top w:type="dxa" w:w="70"/>
              <w:left w:type="dxa" w:w="90"/>
              <w:bottom w:type="dxa" w:w="70"/>
              <w:right w:type="dxa" w:w="90"/>
            </w:tcMar>
          </w:tcPr>
          <w:p>
            <w:pPr>
              <w:spacing w:after="0" w:line="252"/>
              <w:jc w:val="left"/>
            </w:pPr>
            <w:r>
              <w:rPr>
                <w:rFonts w:ascii="Verdana" w:cs="Verdana" w:eastAsia="Verdana" w:hAnsi="Verdana"/>
                <w:b w:val="false"/>
                <w:bCs w:val="false"/>
                <w:color w:val="2B2B2B"/>
                <w:sz w:val="18"/>
                <w:szCs w:val="18"/>
              </w:rPr>
              <w:t xml:space="preserve">Full season, premiere kit, priority render queue</w:t>
            </w:r>
          </w:p>
        </w:tc>
      </w:tr>
    </w:tbl>
    <w:p>
      <w:pPr>
        <w:spacing w:after="80"/>
      </w:pPr>
    </w:p>
    <w:p>
      <w:pPr>
        <w:spacing w:after="140" w:line="276"/>
        <w:jc w:val="both"/>
      </w:pPr>
      <w:r>
        <w:rPr>
          <w:rFonts w:ascii="Verdana" w:cs="Verdana" w:eastAsia="Verdana" w:hAnsi="Verdana"/>
          <w:color w:val="2B2B2B"/>
          <w:sz w:val="19"/>
          <w:szCs w:val="19"/>
        </w:rPr>
        <w:t xml:space="preserve">Policy notes. One free re-render per order where the face match falls below threshold or the subscriber is unsatisfied: generosity here protects the brand at trivial marginal cost. Gifting is supported but a gifted drama starring another person requires that person to complete their own capture and consent flow; a gift unlocks credits, never a likeness. Credits expire in 12 months to concentrate usage.</w:t>
      </w:r>
    </w:p>
    <w:p>
      <w:pPr>
        <w:pBdr>
          <w:top w:val="single" w:color="9AA7BC" w:sz="4"/>
        </w:pBdr>
        <w:spacing w:after="160" w:before="340"/>
      </w:pPr>
      <w:r>
        <w:rPr>
          <w:rFonts w:ascii="Verdana" w:cs="Verdana" w:eastAsia="Verdana" w:hAnsi="Verdana"/>
          <w:b/>
          <w:bCs/>
          <w:color w:val="C00000"/>
          <w:sz w:val="17"/>
          <w:szCs w:val="17"/>
        </w:rPr>
        <w:t xml:space="preserve">06</w:t>
      </w:r>
      <w:r>
        <w:rPr>
          <w:rFonts w:ascii="Verdana" w:cs="Verdana" w:eastAsia="Verdana" w:hAnsi="Verdana"/>
          <w:b/>
          <w:bCs/>
          <w:color w:val="1F3864"/>
          <w:sz w:val="24"/>
          <w:szCs w:val="24"/>
        </w:rPr>
        <w:t xml:space="preserve">   CONTENT SUPPLY: THE DRAMA SHELL LIBRARY</w:t>
      </w:r>
    </w:p>
    <w:p>
      <w:pPr>
        <w:spacing w:after="140" w:line="276"/>
        <w:jc w:val="both"/>
      </w:pPr>
      <w:r>
        <w:rPr>
          <w:rFonts w:ascii="Verdana" w:cs="Verdana" w:eastAsia="Verdana" w:hAnsi="Verdana"/>
          <w:color w:val="2B2B2B"/>
          <w:sz w:val="19"/>
          <w:szCs w:val="19"/>
        </w:rPr>
        <w:t xml:space="preserve">The backend asset class this feature creates is the Drama Shell: a complete, professionally crafted Micro Drama engineered from the ground up for substitution. Each shell designates one or two Swap Roles: characters staged with clean facial coverage, controlled lighting, limited occlusion and locked continuity so that a subscriber identity can be transferred reliably shot after shot. A ten episode shell serves every package tier from a single production investment.</w:t>
      </w:r>
    </w:p>
    <w:p>
      <w:pPr>
        <w:spacing w:after="90" w:before="160"/>
      </w:pPr>
      <w:r>
        <w:rPr>
          <w:rFonts w:ascii="Verdana" w:cs="Verdana" w:eastAsia="Verdana" w:hAnsi="Verdana"/>
          <w:b/>
          <w:bCs/>
          <w:color w:val="1F3864"/>
          <w:sz w:val="19"/>
          <w:szCs w:val="19"/>
        </w:rPr>
        <w:t xml:space="preserve">Two production routes</w:t>
      </w:r>
    </w:p>
    <w:p>
      <w:pPr>
        <w:tabs>
          <w:tab w:val="left" w:pos="360"/>
        </w:tabs>
        <w:spacing w:after="110" w:line="276"/>
        <w:ind w:left="360" w:hanging="360"/>
        <w:jc w:val="both"/>
      </w:pPr>
      <w:r>
        <w:rPr>
          <w:rFonts w:ascii="Verdana" w:cs="Verdana" w:eastAsia="Verdana" w:hAnsi="Verdana"/>
          <w:b/>
          <w:bCs/>
          <w:color w:val="1F3864"/>
          <w:sz w:val="19"/>
          <w:szCs w:val="19"/>
        </w:rPr>
        <w:t xml:space="preserve">1.</w:t>
      </w:r>
      <w:r>
        <w:rPr>
          <w:rFonts w:ascii="Verdana" w:cs="Verdana" w:eastAsia="Verdana" w:hAnsi="Verdana"/>
          <w:color w:val="2B2B2B"/>
          <w:sz w:val="19"/>
          <w:szCs w:val="19"/>
        </w:rPr>
        <w:t xml:space="preserve">	Retrofit. Selected titles from the existing Fast TV library are scored by CineIQ Analyser for swapability: face coverage per shot, occlusion, lighting stability and profile angles. Only titles that clear both the technical threshold and a likeness substitution consent from the underlying actor enter the shell library.</w:t>
      </w:r>
    </w:p>
    <w:p>
      <w:pPr>
        <w:tabs>
          <w:tab w:val="left" w:pos="360"/>
        </w:tabs>
        <w:spacing w:after="110" w:line="276"/>
        <w:ind w:left="360" w:hanging="360"/>
        <w:jc w:val="both"/>
      </w:pPr>
      <w:r>
        <w:rPr>
          <w:rFonts w:ascii="Verdana" w:cs="Verdana" w:eastAsia="Verdana" w:hAnsi="Verdana"/>
          <w:b/>
          <w:bCs/>
          <w:color w:val="1F3864"/>
          <w:sz w:val="19"/>
          <w:szCs w:val="19"/>
        </w:rPr>
        <w:t xml:space="preserve">2.</w:t>
      </w:r>
      <w:r>
        <w:rPr>
          <w:rFonts w:ascii="Verdana" w:cs="Verdana" w:eastAsia="Verdana" w:hAnsi="Verdana"/>
          <w:color w:val="2B2B2B"/>
          <w:sz w:val="19"/>
          <w:szCs w:val="19"/>
        </w:rPr>
        <w:t xml:space="preserve">	Native shells. New Micro Dramas produced swap first, increasingly generated end to end through CineIQ and Seedance 2.0, where the base lead is fully synthetic and fully owned. This is the strategically preferred route: zero residual talent rights on the swap role, total creative control and shells that can be versioned per market.</w:t>
      </w:r>
    </w:p>
    <w:p>
      <w:pPr>
        <w:spacing w:after="90" w:before="160"/>
      </w:pPr>
      <w:r>
        <w:rPr>
          <w:rFonts w:ascii="Verdana" w:cs="Verdana" w:eastAsia="Verdana" w:hAnsi="Verdana"/>
          <w:b/>
          <w:bCs/>
          <w:color w:val="1F3864"/>
          <w:sz w:val="19"/>
          <w:szCs w:val="19"/>
        </w:rPr>
        <w:t xml:space="preserve">Library plan</w:t>
      </w:r>
    </w:p>
    <w:p>
      <w:pPr>
        <w:spacing w:after="140" w:line="276"/>
        <w:jc w:val="both"/>
      </w:pPr>
      <w:r>
        <w:rPr>
          <w:rFonts w:ascii="Verdana" w:cs="Verdana" w:eastAsia="Verdana" w:hAnsi="Verdana"/>
          <w:color w:val="2B2B2B"/>
          <w:sz w:val="19"/>
          <w:szCs w:val="19"/>
        </w:rPr>
        <w:t xml:space="preserve">Launch with six concepts, each in two lead variants: twelve shells, each of ten episodes of 60 to 120 seconds. Add a minimum of four shells monthly, guided by CineIQ intelligence on which concepts and hooks audiences actually complete. Every shell passes a Personal Dignity review before certification: no scene a reasonable person would regret carrying their own face into (Section 08).</w:t>
      </w:r>
    </w:p>
    <w:p>
      <w:pPr>
        <w:pBdr>
          <w:left w:val="single" w:color="C9A227" w:sz="14" w:space="12"/>
        </w:pBdr>
        <w:spacing w:after="160" w:before="120" w:line="276"/>
        <w:ind w:left="520" w:right="400"/>
      </w:pPr>
      <w:r>
        <w:rPr>
          <w:rFonts w:ascii="Verdana" w:cs="Verdana" w:eastAsia="Verdana" w:hAnsi="Verdana"/>
          <w:i/>
          <w:iCs/>
          <w:color w:val="1F3864"/>
          <w:sz w:val="19"/>
          <w:szCs w:val="19"/>
        </w:rPr>
        <w:t xml:space="preserve">The shell library is the moat. Competitors can copy the feature in a quarter. They cannot copy a rights clean, swap engineered, market tuned library wired to live intelligence on what audiences finish. Feature parity without library depth is a demo, not a business.</w:t>
      </w:r>
    </w:p>
    <w:p>
      <w:pPr>
        <w:pBdr>
          <w:top w:val="single" w:color="9AA7BC" w:sz="4"/>
        </w:pBdr>
        <w:spacing w:after="160" w:before="340"/>
      </w:pPr>
      <w:r>
        <w:rPr>
          <w:rFonts w:ascii="Verdana" w:cs="Verdana" w:eastAsia="Verdana" w:hAnsi="Verdana"/>
          <w:b/>
          <w:bCs/>
          <w:color w:val="C00000"/>
          <w:sz w:val="17"/>
          <w:szCs w:val="17"/>
        </w:rPr>
        <w:t xml:space="preserve">07</w:t>
      </w:r>
      <w:r>
        <w:rPr>
          <w:rFonts w:ascii="Verdana" w:cs="Verdana" w:eastAsia="Verdana" w:hAnsi="Verdana"/>
          <w:b/>
          <w:bCs/>
          <w:color w:val="1F3864"/>
          <w:sz w:val="24"/>
          <w:szCs w:val="24"/>
        </w:rPr>
        <w:t xml:space="preserve">   THE PERSONALISATION PIPELINE</w:t>
      </w:r>
    </w:p>
    <w:p>
      <w:pPr>
        <w:spacing w:after="140" w:line="276"/>
        <w:jc w:val="both"/>
      </w:pPr>
      <w:r>
        <w:rPr>
          <w:rFonts w:ascii="Verdana" w:cs="Verdana" w:eastAsia="Verdana" w:hAnsi="Verdana"/>
          <w:color w:val="2B2B2B"/>
          <w:sz w:val="19"/>
          <w:szCs w:val="19"/>
        </w:rPr>
        <w:t xml:space="preserve">The pipeline runs in seven stages, reusing production components already inside CineIQ Analyser wherever possible:</w:t>
      </w:r>
    </w:p>
    <w:tbl>
      <w:tblPr>
        <w:tblW w:type="dxa" w:w="9000"/>
        <w:tblBorders>
          <w:top w:val="single" w:color="C8CDD6" w:sz="3"/>
          <w:left w:val="none" w:color="FFFFFF" w:sz="0"/>
          <w:bottom w:val="single" w:color="C8CDD6" w:sz="3"/>
          <w:right w:val="none" w:color="FFFFFF" w:sz="0"/>
          <w:insideH w:val="single" w:color="DDE1E8" w:sz="3"/>
          <w:insideV w:val="none" w:color="FFFFFF" w:sz="0"/>
        </w:tblBorders>
      </w:tblPr>
      <w:tblGrid>
        <w:gridCol w:w="2300"/>
        <w:gridCol w:w="6700"/>
      </w:tblGrid>
      <w:tr>
        <w:tc>
          <w:tcPr>
            <w:tcW w:type="dxa" w:w="2300"/>
            <w:tcMar>
              <w:top w:type="dxa" w:w="70"/>
              <w:left w:type="dxa" w:w="90"/>
              <w:bottom w:type="dxa" w:w="70"/>
              <w:right w:type="dxa" w:w="90"/>
            </w:tcMar>
          </w:tcPr>
          <w:p>
            <w:pPr>
              <w:spacing w:after="0" w:line="252"/>
              <w:jc w:val="left"/>
            </w:pPr>
            <w:r>
              <w:rPr>
                <w:rFonts w:ascii="Verdana" w:cs="Verdana" w:eastAsia="Verdana" w:hAnsi="Verdana"/>
                <w:b/>
                <w:bCs/>
                <w:color w:val="1F3864"/>
                <w:sz w:val="17"/>
                <w:szCs w:val="17"/>
              </w:rPr>
              <w:t xml:space="preserve">Stage</w:t>
            </w:r>
          </w:p>
        </w:tc>
        <w:tc>
          <w:tcPr>
            <w:tcW w:type="dxa" w:w="6700"/>
            <w:tcMar>
              <w:top w:type="dxa" w:w="70"/>
              <w:left w:type="dxa" w:w="90"/>
              <w:bottom w:type="dxa" w:w="70"/>
              <w:right w:type="dxa" w:w="90"/>
            </w:tcMar>
          </w:tcPr>
          <w:p>
            <w:pPr>
              <w:spacing w:after="0" w:line="252"/>
              <w:jc w:val="left"/>
            </w:pPr>
            <w:r>
              <w:rPr>
                <w:rFonts w:ascii="Verdana" w:cs="Verdana" w:eastAsia="Verdana" w:hAnsi="Verdana"/>
                <w:b/>
                <w:bCs/>
                <w:color w:val="1F3864"/>
                <w:sz w:val="17"/>
                <w:szCs w:val="17"/>
              </w:rPr>
              <w:t xml:space="preserve">What happens</w:t>
            </w:r>
          </w:p>
        </w:tc>
      </w:tr>
      <w:tr>
        <w:tc>
          <w:tcPr>
            <w:tcW w:type="dxa" w:w="2300"/>
            <w:tcMar>
              <w:top w:type="dxa" w:w="70"/>
              <w:left w:type="dxa" w:w="90"/>
              <w:bottom w:type="dxa" w:w="70"/>
              <w:right w:type="dxa" w:w="90"/>
            </w:tcMar>
          </w:tcPr>
          <w:p>
            <w:pPr>
              <w:spacing w:after="0" w:line="252"/>
              <w:jc w:val="left"/>
            </w:pPr>
            <w:r>
              <w:rPr>
                <w:rFonts w:ascii="Verdana" w:cs="Verdana" w:eastAsia="Verdana" w:hAnsi="Verdana"/>
                <w:b/>
                <w:bCs/>
                <w:color w:val="2B2B2B"/>
                <w:sz w:val="18"/>
                <w:szCs w:val="18"/>
              </w:rPr>
              <w:t xml:space="preserve">Identity ingestion</w:t>
            </w:r>
          </w:p>
        </w:tc>
        <w:tc>
          <w:tcPr>
            <w:tcW w:type="dxa" w:w="6700"/>
            <w:tcMar>
              <w:top w:type="dxa" w:w="70"/>
              <w:left w:type="dxa" w:w="90"/>
              <w:bottom w:type="dxa" w:w="70"/>
              <w:right w:type="dxa" w:w="90"/>
            </w:tcMar>
          </w:tcPr>
          <w:p>
            <w:pPr>
              <w:spacing w:after="0" w:line="252"/>
              <w:jc w:val="left"/>
            </w:pPr>
            <w:r>
              <w:rPr>
                <w:rFonts w:ascii="Verdana" w:cs="Verdana" w:eastAsia="Verdana" w:hAnsi="Verdana"/>
                <w:b w:val="false"/>
                <w:bCs w:val="false"/>
                <w:color w:val="2B2B2B"/>
                <w:sz w:val="18"/>
                <w:szCs w:val="18"/>
              </w:rPr>
              <w:t xml:space="preserve">Selfie validation (pose, light, resolution), liveness check, consent record written to the ledger, face embedding generated on the InsightFace stack already in production inside CineIQ Analyser</w:t>
            </w:r>
          </w:p>
        </w:tc>
      </w:tr>
      <w:tr>
        <w:tc>
          <w:tcPr>
            <w:tcW w:type="dxa" w:w="2300"/>
            <w:tcMar>
              <w:top w:type="dxa" w:w="70"/>
              <w:left w:type="dxa" w:w="90"/>
              <w:bottom w:type="dxa" w:w="70"/>
              <w:right w:type="dxa" w:w="90"/>
            </w:tcMar>
          </w:tcPr>
          <w:p>
            <w:pPr>
              <w:spacing w:after="0" w:line="252"/>
              <w:jc w:val="left"/>
            </w:pPr>
            <w:r>
              <w:rPr>
                <w:rFonts w:ascii="Verdana" w:cs="Verdana" w:eastAsia="Verdana" w:hAnsi="Verdana"/>
                <w:b/>
                <w:bCs/>
                <w:color w:val="2B2B2B"/>
                <w:sz w:val="18"/>
                <w:szCs w:val="18"/>
              </w:rPr>
              <w:t xml:space="preserve">Casting fit</w:t>
            </w:r>
          </w:p>
        </w:tc>
        <w:tc>
          <w:tcPr>
            <w:tcW w:type="dxa" w:w="6700"/>
            <w:tcMar>
              <w:top w:type="dxa" w:w="70"/>
              <w:left w:type="dxa" w:w="90"/>
              <w:bottom w:type="dxa" w:w="70"/>
              <w:right w:type="dxa" w:w="90"/>
            </w:tcMar>
          </w:tcPr>
          <w:p>
            <w:pPr>
              <w:spacing w:after="0" w:line="252"/>
              <w:jc w:val="left"/>
            </w:pPr>
            <w:r>
              <w:rPr>
                <w:rFonts w:ascii="Verdana" w:cs="Verdana" w:eastAsia="Verdana" w:hAnsi="Verdana"/>
                <w:b w:val="false"/>
                <w:bCs w:val="false"/>
                <w:color w:val="2B2B2B"/>
                <w:sz w:val="18"/>
                <w:szCs w:val="18"/>
              </w:rPr>
              <w:t xml:space="preserve">The embedding is scored against each shell's swap roles for realism fit (age band, presentation as chosen by the subscriber). CineIQ can recommend the concept most likely to delight</w:t>
            </w:r>
          </w:p>
        </w:tc>
      </w:tr>
      <w:tr>
        <w:tc>
          <w:tcPr>
            <w:tcW w:type="dxa" w:w="2300"/>
            <w:tcMar>
              <w:top w:type="dxa" w:w="70"/>
              <w:left w:type="dxa" w:w="90"/>
              <w:bottom w:type="dxa" w:w="70"/>
              <w:right w:type="dxa" w:w="90"/>
            </w:tcMar>
          </w:tcPr>
          <w:p>
            <w:pPr>
              <w:spacing w:after="0" w:line="252"/>
              <w:jc w:val="left"/>
            </w:pPr>
            <w:r>
              <w:rPr>
                <w:rFonts w:ascii="Verdana" w:cs="Verdana" w:eastAsia="Verdana" w:hAnsi="Verdana"/>
                <w:b/>
                <w:bCs/>
                <w:color w:val="2B2B2B"/>
                <w:sz w:val="18"/>
                <w:szCs w:val="18"/>
              </w:rPr>
              <w:t xml:space="preserve">Face transfer</w:t>
            </w:r>
          </w:p>
        </w:tc>
        <w:tc>
          <w:tcPr>
            <w:tcW w:type="dxa" w:w="6700"/>
            <w:tcMar>
              <w:top w:type="dxa" w:w="70"/>
              <w:left w:type="dxa" w:w="90"/>
              <w:bottom w:type="dxa" w:w="70"/>
              <w:right w:type="dxa" w:w="90"/>
            </w:tcMar>
          </w:tcPr>
          <w:p>
            <w:pPr>
              <w:spacing w:after="0" w:line="252"/>
              <w:jc w:val="left"/>
            </w:pPr>
            <w:r>
              <w:rPr>
                <w:rFonts w:ascii="Verdana" w:cs="Verdana" w:eastAsia="Verdana" w:hAnsi="Verdana"/>
                <w:b w:val="false"/>
                <w:bCs w:val="false"/>
                <w:color w:val="2B2B2B"/>
                <w:sz w:val="18"/>
                <w:szCs w:val="18"/>
              </w:rPr>
              <w:t xml:space="preserve">Per shot face swap or character re-render through Seedance 2.0 video to video, executed shot by shot against the shell's swap map with per scene identity similarity thresholds</w:t>
            </w:r>
          </w:p>
        </w:tc>
      </w:tr>
      <w:tr>
        <w:tc>
          <w:tcPr>
            <w:tcW w:type="dxa" w:w="2300"/>
            <w:tcMar>
              <w:top w:type="dxa" w:w="70"/>
              <w:left w:type="dxa" w:w="90"/>
              <w:bottom w:type="dxa" w:w="70"/>
              <w:right w:type="dxa" w:w="90"/>
            </w:tcMar>
          </w:tcPr>
          <w:p>
            <w:pPr>
              <w:spacing w:after="0" w:line="252"/>
              <w:jc w:val="left"/>
            </w:pPr>
            <w:r>
              <w:rPr>
                <w:rFonts w:ascii="Verdana" w:cs="Verdana" w:eastAsia="Verdana" w:hAnsi="Verdana"/>
                <w:b/>
                <w:bCs/>
                <w:color w:val="2B2B2B"/>
                <w:sz w:val="18"/>
                <w:szCs w:val="18"/>
              </w:rPr>
              <w:t xml:space="preserve">Voice</w:t>
            </w:r>
          </w:p>
        </w:tc>
        <w:tc>
          <w:tcPr>
            <w:tcW w:type="dxa" w:w="6700"/>
            <w:tcMar>
              <w:top w:type="dxa" w:w="70"/>
              <w:left w:type="dxa" w:w="90"/>
              <w:bottom w:type="dxa" w:w="70"/>
              <w:right w:type="dxa" w:w="90"/>
            </w:tcMar>
          </w:tcPr>
          <w:p>
            <w:pPr>
              <w:spacing w:after="0" w:line="252"/>
              <w:jc w:val="left"/>
            </w:pPr>
            <w:r>
              <w:rPr>
                <w:rFonts w:ascii="Verdana" w:cs="Verdana" w:eastAsia="Verdana" w:hAnsi="Verdana"/>
                <w:b w:val="false"/>
                <w:bCs w:val="false"/>
                <w:color w:val="2B2B2B"/>
                <w:sz w:val="18"/>
                <w:szCs w:val="18"/>
              </w:rPr>
              <w:t xml:space="preserve">Phase 1 retains the original character voice with the subscriber billed as the star. Phase 1.5 offers an ElevenLabs voice clone from a 30 second guided read under a separate voice consent</w:t>
            </w:r>
          </w:p>
        </w:tc>
      </w:tr>
      <w:tr>
        <w:tc>
          <w:tcPr>
            <w:tcW w:type="dxa" w:w="2300"/>
            <w:tcMar>
              <w:top w:type="dxa" w:w="70"/>
              <w:left w:type="dxa" w:w="90"/>
              <w:bottom w:type="dxa" w:w="70"/>
              <w:right w:type="dxa" w:w="90"/>
            </w:tcMar>
          </w:tcPr>
          <w:p>
            <w:pPr>
              <w:spacing w:after="0" w:line="252"/>
              <w:jc w:val="left"/>
            </w:pPr>
            <w:r>
              <w:rPr>
                <w:rFonts w:ascii="Verdana" w:cs="Verdana" w:eastAsia="Verdana" w:hAnsi="Verdana"/>
                <w:b/>
                <w:bCs/>
                <w:color w:val="2B2B2B"/>
                <w:sz w:val="18"/>
                <w:szCs w:val="18"/>
              </w:rPr>
              <w:t xml:space="preserve">Assembly</w:t>
            </w:r>
          </w:p>
        </w:tc>
        <w:tc>
          <w:tcPr>
            <w:tcW w:type="dxa" w:w="6700"/>
            <w:tcMar>
              <w:top w:type="dxa" w:w="70"/>
              <w:left w:type="dxa" w:w="90"/>
              <w:bottom w:type="dxa" w:w="70"/>
              <w:right w:type="dxa" w:w="90"/>
            </w:tcMar>
          </w:tcPr>
          <w:p>
            <w:pPr>
              <w:spacing w:after="0" w:line="252"/>
              <w:jc w:val="left"/>
            </w:pPr>
            <w:r>
              <w:rPr>
                <w:rFonts w:ascii="Verdana" w:cs="Verdana" w:eastAsia="Verdana" w:hAnsi="Verdana"/>
                <w:b w:val="false"/>
                <w:bCs w:val="false"/>
                <w:color w:val="2B2B2B"/>
                <w:sz w:val="18"/>
                <w:szCs w:val="18"/>
              </w:rPr>
              <w:t xml:space="preserve">Name in the opening credits, personalised poster, 15 second trailer cut, packaging per tier</w:t>
            </w:r>
          </w:p>
        </w:tc>
      </w:tr>
      <w:tr>
        <w:tc>
          <w:tcPr>
            <w:tcW w:type="dxa" w:w="2300"/>
            <w:tcMar>
              <w:top w:type="dxa" w:w="70"/>
              <w:left w:type="dxa" w:w="90"/>
              <w:bottom w:type="dxa" w:w="70"/>
              <w:right w:type="dxa" w:w="90"/>
            </w:tcMar>
          </w:tcPr>
          <w:p>
            <w:pPr>
              <w:spacing w:after="0" w:line="252"/>
              <w:jc w:val="left"/>
            </w:pPr>
            <w:r>
              <w:rPr>
                <w:rFonts w:ascii="Verdana" w:cs="Verdana" w:eastAsia="Verdana" w:hAnsi="Verdana"/>
                <w:b/>
                <w:bCs/>
                <w:color w:val="2B2B2B"/>
                <w:sz w:val="18"/>
                <w:szCs w:val="18"/>
              </w:rPr>
              <w:t xml:space="preserve">Quality gate</w:t>
            </w:r>
          </w:p>
        </w:tc>
        <w:tc>
          <w:tcPr>
            <w:tcW w:type="dxa" w:w="6700"/>
            <w:tcMar>
              <w:top w:type="dxa" w:w="70"/>
              <w:left w:type="dxa" w:w="90"/>
              <w:bottom w:type="dxa" w:w="70"/>
              <w:right w:type="dxa" w:w="90"/>
            </w:tcMar>
          </w:tcPr>
          <w:p>
            <w:pPr>
              <w:spacing w:after="0" w:line="252"/>
              <w:jc w:val="left"/>
            </w:pPr>
            <w:r>
              <w:rPr>
                <w:rFonts w:ascii="Verdana" w:cs="Verdana" w:eastAsia="Verdana" w:hAnsi="Verdana"/>
                <w:b w:val="false"/>
                <w:bCs w:val="false"/>
                <w:color w:val="2B2B2B"/>
                <w:sz w:val="18"/>
                <w:szCs w:val="18"/>
              </w:rPr>
              <w:t xml:space="preserve">Automated pass: identity similarity score, artifact detection, safety screen. Human spot check on top, per the house principle of manual first, automate behind</w:t>
            </w:r>
          </w:p>
        </w:tc>
      </w:tr>
      <w:tr>
        <w:tc>
          <w:tcPr>
            <w:tcW w:type="dxa" w:w="2300"/>
            <w:tcMar>
              <w:top w:type="dxa" w:w="70"/>
              <w:left w:type="dxa" w:w="90"/>
              <w:bottom w:type="dxa" w:w="70"/>
              <w:right w:type="dxa" w:w="90"/>
            </w:tcMar>
          </w:tcPr>
          <w:p>
            <w:pPr>
              <w:spacing w:after="0" w:line="252"/>
              <w:jc w:val="left"/>
            </w:pPr>
            <w:r>
              <w:rPr>
                <w:rFonts w:ascii="Verdana" w:cs="Verdana" w:eastAsia="Verdana" w:hAnsi="Verdana"/>
                <w:b/>
                <w:bCs/>
                <w:color w:val="2B2B2B"/>
                <w:sz w:val="18"/>
                <w:szCs w:val="18"/>
              </w:rPr>
              <w:t xml:space="preserve">Delivery</w:t>
            </w:r>
          </w:p>
        </w:tc>
        <w:tc>
          <w:tcPr>
            <w:tcW w:type="dxa" w:w="6700"/>
            <w:tcMar>
              <w:top w:type="dxa" w:w="70"/>
              <w:left w:type="dxa" w:w="90"/>
              <w:bottom w:type="dxa" w:w="70"/>
              <w:right w:type="dxa" w:w="90"/>
            </w:tcMar>
          </w:tcPr>
          <w:p>
            <w:pPr>
              <w:spacing w:after="0" w:line="252"/>
              <w:jc w:val="left"/>
            </w:pPr>
            <w:r>
              <w:rPr>
                <w:rFonts w:ascii="Verdana" w:cs="Verdana" w:eastAsia="Verdana" w:hAnsi="Verdana"/>
                <w:b w:val="false"/>
                <w:bCs w:val="false"/>
                <w:color w:val="2B2B2B"/>
                <w:sz w:val="18"/>
                <w:szCs w:val="18"/>
              </w:rPr>
              <w:t xml:space="preserve">Watermarking and provenance signing, publish to the subscriber's premiere screen, push and WhatsApp notification inside the 12 hour SLA</w:t>
            </w:r>
          </w:p>
        </w:tc>
      </w:tr>
    </w:tbl>
    <w:p>
      <w:pPr>
        <w:spacing w:after="80"/>
      </w:pPr>
    </w:p>
    <w:p>
      <w:pPr>
        <w:spacing w:after="140" w:line="276"/>
        <w:jc w:val="both"/>
      </w:pPr>
      <w:r>
        <w:rPr>
          <w:rFonts w:ascii="Verdana" w:cs="Verdana" w:eastAsia="Verdana" w:hAnsi="Verdana"/>
          <w:color w:val="2B2B2B"/>
          <w:sz w:val="19"/>
          <w:szCs w:val="19"/>
        </w:rPr>
        <w:t xml:space="preserve">The 12 hour promise is a launch posture that buys render queue flexibility and human QA time. The internal engineering target is under four hours at maturity, with the Superstar tier carrying priority in the queue. Every stage emits telemetry into the metrics stack in Section 14.</w:t>
      </w:r>
    </w:p>
    <w:p>
      <w:pPr>
        <w:pBdr>
          <w:top w:val="single" w:color="9AA7BC" w:sz="4"/>
        </w:pBdr>
        <w:spacing w:after="160" w:before="340"/>
      </w:pPr>
      <w:r>
        <w:rPr>
          <w:rFonts w:ascii="Verdana" w:cs="Verdana" w:eastAsia="Verdana" w:hAnsi="Verdana"/>
          <w:b/>
          <w:bCs/>
          <w:color w:val="C00000"/>
          <w:sz w:val="17"/>
          <w:szCs w:val="17"/>
        </w:rPr>
        <w:t xml:space="preserve">08</w:t>
      </w:r>
      <w:r>
        <w:rPr>
          <w:rFonts w:ascii="Verdana" w:cs="Verdana" w:eastAsia="Verdana" w:hAnsi="Verdana"/>
          <w:b/>
          <w:bCs/>
          <w:color w:val="1F3864"/>
          <w:sz w:val="24"/>
          <w:szCs w:val="24"/>
        </w:rPr>
        <w:t xml:space="preserve">   TRUST, CONSENT AND SAFETY ARCHITECTURE</w:t>
      </w:r>
    </w:p>
    <w:p>
      <w:pPr>
        <w:spacing w:after="140" w:line="276"/>
        <w:jc w:val="both"/>
      </w:pPr>
      <w:r>
        <w:rPr>
          <w:rFonts w:ascii="Verdana" w:cs="Verdana" w:eastAsia="Verdana" w:hAnsi="Verdana"/>
          <w:color w:val="2B2B2B"/>
          <w:sz w:val="19"/>
          <w:szCs w:val="19"/>
        </w:rPr>
        <w:t xml:space="preserve">StarME is, technically, consensual self directed synthetic media at consumer scale. That sentence is either the category's biggest liability or Hungama's biggest brand asset, and the difference is architecture, not messaging. The following are non negotiable design commitments from day one:</w:t>
      </w:r>
    </w:p>
    <w:p>
      <w:pPr>
        <w:tabs>
          <w:tab w:val="left" w:pos="360"/>
        </w:tabs>
        <w:spacing w:after="110" w:line="276"/>
        <w:ind w:left="360" w:hanging="360"/>
        <w:jc w:val="both"/>
      </w:pPr>
      <w:r>
        <w:rPr>
          <w:rFonts w:ascii="Verdana" w:cs="Verdana" w:eastAsia="Verdana" w:hAnsi="Verdana"/>
          <w:b/>
          <w:bCs/>
          <w:color w:val="1F3864"/>
          <w:sz w:val="19"/>
          <w:szCs w:val="19"/>
        </w:rPr>
        <w:t xml:space="preserve">1.</w:t>
      </w:r>
      <w:r>
        <w:rPr>
          <w:rFonts w:ascii="Verdana" w:cs="Verdana" w:eastAsia="Verdana" w:hAnsi="Verdana"/>
          <w:color w:val="2B2B2B"/>
          <w:sz w:val="19"/>
          <w:szCs w:val="19"/>
        </w:rPr>
        <w:t xml:space="preserve">	Own face only. Liveness verification plus a face match between the live selfie and any uploaded photo. No third party can be placed in a drama without completing their own verified capture and consent flow. This single rule removes the overwhelming majority of misuse vectors.</w:t>
      </w:r>
    </w:p>
    <w:p>
      <w:pPr>
        <w:tabs>
          <w:tab w:val="left" w:pos="360"/>
        </w:tabs>
        <w:spacing w:after="110" w:line="276"/>
        <w:ind w:left="360" w:hanging="360"/>
        <w:jc w:val="both"/>
      </w:pPr>
      <w:r>
        <w:rPr>
          <w:rFonts w:ascii="Verdana" w:cs="Verdana" w:eastAsia="Verdana" w:hAnsi="Verdana"/>
          <w:b/>
          <w:bCs/>
          <w:color w:val="1F3864"/>
          <w:sz w:val="19"/>
          <w:szCs w:val="19"/>
        </w:rPr>
        <w:t xml:space="preserve">2.</w:t>
      </w:r>
      <w:r>
        <w:rPr>
          <w:rFonts w:ascii="Verdana" w:cs="Verdana" w:eastAsia="Verdana" w:hAnsi="Verdana"/>
          <w:color w:val="2B2B2B"/>
          <w:sz w:val="19"/>
          <w:szCs w:val="19"/>
        </w:rPr>
        <w:t xml:space="preserve">	No minors. Age gate at entry, face age estimation as a secondary automated screen and hard refusal on failure. No exceptions, no manual override.</w:t>
      </w:r>
    </w:p>
    <w:p>
      <w:pPr>
        <w:tabs>
          <w:tab w:val="left" w:pos="360"/>
        </w:tabs>
        <w:spacing w:after="110" w:line="276"/>
        <w:ind w:left="360" w:hanging="360"/>
        <w:jc w:val="both"/>
      </w:pPr>
      <w:r>
        <w:rPr>
          <w:rFonts w:ascii="Verdana" w:cs="Verdana" w:eastAsia="Verdana" w:hAnsi="Verdana"/>
          <w:b/>
          <w:bCs/>
          <w:color w:val="1F3864"/>
          <w:sz w:val="19"/>
          <w:szCs w:val="19"/>
        </w:rPr>
        <w:t xml:space="preserve">3.</w:t>
      </w:r>
      <w:r>
        <w:rPr>
          <w:rFonts w:ascii="Verdana" w:cs="Verdana" w:eastAsia="Verdana" w:hAnsi="Verdana"/>
          <w:color w:val="2B2B2B"/>
          <w:sz w:val="19"/>
          <w:szCs w:val="19"/>
        </w:rPr>
        <w:t xml:space="preserve">	Consent ledger. Explicit, versioned, revocable consent for likeness use, retained as an auditable record. Biometric templates are stored encrypted, used solely for this feature and deleted on request within a defined window, in line with the DPDP Act 2023 in India and GDPR in international markets.</w:t>
      </w:r>
    </w:p>
    <w:p>
      <w:pPr>
        <w:tabs>
          <w:tab w:val="left" w:pos="360"/>
        </w:tabs>
        <w:spacing w:after="110" w:line="276"/>
        <w:ind w:left="360" w:hanging="360"/>
        <w:jc w:val="both"/>
      </w:pPr>
      <w:r>
        <w:rPr>
          <w:rFonts w:ascii="Verdana" w:cs="Verdana" w:eastAsia="Verdana" w:hAnsi="Verdana"/>
          <w:b/>
          <w:bCs/>
          <w:color w:val="1F3864"/>
          <w:sz w:val="19"/>
          <w:szCs w:val="19"/>
        </w:rPr>
        <w:t xml:space="preserve">4.</w:t>
      </w:r>
      <w:r>
        <w:rPr>
          <w:rFonts w:ascii="Verdana" w:cs="Verdana" w:eastAsia="Verdana" w:hAnsi="Verdana"/>
          <w:color w:val="2B2B2B"/>
          <w:sz w:val="19"/>
          <w:szCs w:val="19"/>
        </w:rPr>
        <w:t xml:space="preserve">	Content boundaries. Shells contain no intimate, degrading or humiliating-to-lead scenarios. The Personal Dignity review certifies every shell before it enters the store.</w:t>
      </w:r>
    </w:p>
    <w:p>
      <w:pPr>
        <w:tabs>
          <w:tab w:val="left" w:pos="360"/>
        </w:tabs>
        <w:spacing w:after="110" w:line="276"/>
        <w:ind w:left="360" w:hanging="360"/>
        <w:jc w:val="both"/>
      </w:pPr>
      <w:r>
        <w:rPr>
          <w:rFonts w:ascii="Verdana" w:cs="Verdana" w:eastAsia="Verdana" w:hAnsi="Verdana"/>
          <w:b/>
          <w:bCs/>
          <w:color w:val="1F3864"/>
          <w:sz w:val="19"/>
          <w:szCs w:val="19"/>
        </w:rPr>
        <w:t xml:space="preserve">5.</w:t>
      </w:r>
      <w:r>
        <w:rPr>
          <w:rFonts w:ascii="Verdana" w:cs="Verdana" w:eastAsia="Verdana" w:hAnsi="Verdana"/>
          <w:color w:val="2B2B2B"/>
          <w:sz w:val="19"/>
          <w:szCs w:val="19"/>
        </w:rPr>
        <w:t xml:space="preserve">	Provenance by default. Every output carries C2PA content credentials, an invisible watermark and clear in-product labelling as AI personalised content. Trailers shared outward carry the label in the end frame.</w:t>
      </w:r>
    </w:p>
    <w:p>
      <w:pPr>
        <w:tabs>
          <w:tab w:val="left" w:pos="360"/>
        </w:tabs>
        <w:spacing w:after="110" w:line="276"/>
        <w:ind w:left="360" w:hanging="360"/>
        <w:jc w:val="both"/>
      </w:pPr>
      <w:r>
        <w:rPr>
          <w:rFonts w:ascii="Verdana" w:cs="Verdana" w:eastAsia="Verdana" w:hAnsi="Verdana"/>
          <w:b/>
          <w:bCs/>
          <w:color w:val="1F3864"/>
          <w:sz w:val="19"/>
          <w:szCs w:val="19"/>
        </w:rPr>
        <w:t xml:space="preserve">6.</w:t>
      </w:r>
      <w:r>
        <w:rPr>
          <w:rFonts w:ascii="Verdana" w:cs="Verdana" w:eastAsia="Verdana" w:hAnsi="Verdana"/>
          <w:color w:val="2B2B2B"/>
          <w:sz w:val="19"/>
          <w:szCs w:val="19"/>
        </w:rPr>
        <w:t xml:space="preserve">	Misuse response. A report and takedown lane, hash based blocking of revoked content on re-upload and a standing kill switch per shell and per output.</w:t>
      </w:r>
    </w:p>
    <w:p>
      <w:pPr>
        <w:pBdr>
          <w:left w:val="single" w:color="C9A227" w:sz="14" w:space="12"/>
        </w:pBdr>
        <w:spacing w:after="160" w:before="120" w:line="276"/>
        <w:ind w:left="520" w:right="400"/>
      </w:pPr>
      <w:r>
        <w:rPr>
          <w:rFonts w:ascii="Verdana" w:cs="Verdana" w:eastAsia="Verdana" w:hAnsi="Verdana"/>
          <w:i/>
          <w:iCs/>
          <w:color w:val="1F3864"/>
          <w:sz w:val="19"/>
          <w:szCs w:val="19"/>
        </w:rPr>
        <w:t xml:space="preserve">The ambition is not merely to be first at scale in personalised video. It is to be the operator regulators cite as the model. Trust architecture is a competitive weapon in a category the press will scrutinise.</w:t>
      </w:r>
    </w:p>
    <w:p>
      <w:pPr>
        <w:pBdr>
          <w:top w:val="single" w:color="9AA7BC" w:sz="4"/>
        </w:pBdr>
        <w:spacing w:after="160" w:before="340"/>
      </w:pPr>
      <w:r>
        <w:rPr>
          <w:rFonts w:ascii="Verdana" w:cs="Verdana" w:eastAsia="Verdana" w:hAnsi="Verdana"/>
          <w:b/>
          <w:bCs/>
          <w:color w:val="C00000"/>
          <w:sz w:val="17"/>
          <w:szCs w:val="17"/>
        </w:rPr>
        <w:t xml:space="preserve">09</w:t>
      </w:r>
      <w:r>
        <w:rPr>
          <w:rFonts w:ascii="Verdana" w:cs="Verdana" w:eastAsia="Verdana" w:hAnsi="Verdana"/>
          <w:b/>
          <w:bCs/>
          <w:color w:val="1F3864"/>
          <w:sz w:val="24"/>
          <w:szCs w:val="24"/>
        </w:rPr>
        <w:t xml:space="preserve">   COMMUNITY AND SOCIAL AMPLIFICATION</w:t>
      </w:r>
    </w:p>
    <w:p>
      <w:pPr>
        <w:spacing w:after="140" w:line="276"/>
        <w:jc w:val="both"/>
      </w:pPr>
      <w:r>
        <w:rPr>
          <w:rFonts w:ascii="Verdana" w:cs="Verdana" w:eastAsia="Verdana" w:hAnsi="Verdana"/>
          <w:color w:val="2B2B2B"/>
          <w:sz w:val="19"/>
          <w:szCs w:val="19"/>
        </w:rPr>
        <w:t xml:space="preserve">Every delivered drama is a marketing asset with the subscriber as the distributor. The community layer converts that instinct into structured growth:</w:t>
      </w:r>
    </w:p>
    <w:p>
      <w:pPr>
        <w:spacing w:after="140" w:line="276"/>
        <w:jc w:val="both"/>
      </w:pPr>
      <w:r>
        <w:rPr>
          <w:rFonts w:ascii="Verdana" w:cs="Verdana" w:eastAsia="Verdana" w:hAnsi="Verdana"/>
          <w:color w:val="2B2B2B"/>
          <w:sz w:val="19"/>
          <w:szCs w:val="19"/>
        </w:rPr>
        <w:t xml:space="preserve">The FastME Wall: an opt in public gallery of personal trailers inside Fast TV, surfacing a Star of the Week with editorial amplification through the Bollywood Hungama community of 30M+ where the story merits it. The share kit: poster, personal trailer and WhatsApp native formats, because WhatsApp is where Indian pride travels. StarME Duet: two subscribers, both through the full consent flow, co-starring in one drama. Couples, siblings and best friends are the most naturally viral unit this format will ever produce and the referral mechanic writes itself: your co-star needs a subscription. Creator tier: ACTION+ creators receive shells to offer personalised dramas to their own fans, extending StarME into the creator economy as a white label surface.</w:t>
      </w:r>
    </w:p>
    <w:p>
      <w:pPr>
        <w:pBdr>
          <w:top w:val="single" w:color="9AA7BC" w:sz="4"/>
        </w:pBdr>
        <w:spacing w:after="160" w:before="340"/>
      </w:pPr>
      <w:r>
        <w:rPr>
          <w:rFonts w:ascii="Verdana" w:cs="Verdana" w:eastAsia="Verdana" w:hAnsi="Verdana"/>
          <w:b/>
          <w:bCs/>
          <w:color w:val="C00000"/>
          <w:sz w:val="17"/>
          <w:szCs w:val="17"/>
        </w:rPr>
        <w:t xml:space="preserve">10</w:t>
      </w:r>
      <w:r>
        <w:rPr>
          <w:rFonts w:ascii="Verdana" w:cs="Verdana" w:eastAsia="Verdana" w:hAnsi="Verdana"/>
          <w:b/>
          <w:bCs/>
          <w:color w:val="1F3864"/>
          <w:sz w:val="24"/>
          <w:szCs w:val="24"/>
        </w:rPr>
        <w:t xml:space="preserve">   PHASE 2: STAR WITH THE STARS</w:t>
      </w:r>
    </w:p>
    <w:p>
      <w:pPr>
        <w:spacing w:after="140" w:line="276"/>
        <w:jc w:val="both"/>
      </w:pPr>
      <w:r>
        <w:rPr>
          <w:rFonts w:ascii="Verdana" w:cs="Verdana" w:eastAsia="Verdana" w:hAnsi="Verdana"/>
          <w:color w:val="2B2B2B"/>
          <w:sz w:val="19"/>
          <w:szCs w:val="19"/>
        </w:rPr>
        <w:t xml:space="preserve">Phase 2 moves from you as the lead to you beside the star. Hungama licenses the likeness rights of select public figures: face and optionally voice, scoped tightly by territory, duration, concept whitelist and render volume caps. A subscriber then stars opposite that figure in a premium shell at premium credits.</w:t>
      </w:r>
    </w:p>
    <w:p>
      <w:pPr>
        <w:spacing w:after="140" w:line="276"/>
        <w:jc w:val="both"/>
      </w:pPr>
      <w:r>
        <w:rPr>
          <w:rFonts w:ascii="Verdana" w:cs="Verdana" w:eastAsia="Verdana" w:hAnsi="Verdana"/>
          <w:color w:val="2B2B2B"/>
          <w:sz w:val="19"/>
          <w:szCs w:val="19"/>
        </w:rPr>
        <w:t xml:space="preserve">For talent this creates a genuinely new monetisation line between endorsement and acting: a minimum guarantee plus a per render royalty, with approval rights over scripts, a defined intimacy ceiling and a contractual kill switch. Time bound catalogues, of say twelve months, create seasonal urgency: act with this star, this season only. Hungama's 1,000+ studio, label and creator partnerships and two-plus decades of talent relationships make us the natural counterparty for rights holders who would never grant this to a pure technology player.</w:t>
      </w:r>
    </w:p>
    <w:p>
      <w:pPr>
        <w:spacing w:after="140" w:line="276"/>
        <w:jc w:val="both"/>
      </w:pPr>
      <w:r>
        <w:rPr>
          <w:rFonts w:ascii="Verdana" w:cs="Verdana" w:eastAsia="Verdana" w:hAnsi="Verdana"/>
          <w:color w:val="2B2B2B"/>
          <w:sz w:val="19"/>
          <w:szCs w:val="19"/>
        </w:rPr>
        <w:t xml:space="preserve">Selection of which figures to license first should be driven by the group's celebrity intelligence capability (CelebIQ): heat, velocity and audience overlap with Fast TV concepts. Standing rule applies: internal platform names stay out of talent and partner rooms; in those rooms this is simply Hungama's audience intelligence.</w:t>
      </w:r>
    </w:p>
    <w:p>
      <w:pPr>
        <w:pBdr>
          <w:top w:val="single" w:color="9AA7BC" w:sz="4"/>
        </w:pBdr>
        <w:spacing w:after="160" w:before="340"/>
      </w:pPr>
      <w:r>
        <w:rPr>
          <w:rFonts w:ascii="Verdana" w:cs="Verdana" w:eastAsia="Verdana" w:hAnsi="Verdana"/>
          <w:b/>
          <w:bCs/>
          <w:color w:val="C00000"/>
          <w:sz w:val="17"/>
          <w:szCs w:val="17"/>
        </w:rPr>
        <w:t xml:space="preserve">11</w:t>
      </w:r>
      <w:r>
        <w:rPr>
          <w:rFonts w:ascii="Verdana" w:cs="Verdana" w:eastAsia="Verdana" w:hAnsi="Verdana"/>
          <w:b/>
          <w:bCs/>
          <w:color w:val="1F3864"/>
          <w:sz w:val="24"/>
          <w:szCs w:val="24"/>
        </w:rPr>
        <w:t xml:space="preserve">   REVENUE MODEL AND UNIT ECONOMICS</w:t>
      </w:r>
    </w:p>
    <w:p>
      <w:pPr>
        <w:spacing w:after="140" w:line="276"/>
        <w:jc w:val="both"/>
      </w:pPr>
      <w:r>
        <w:rPr>
          <w:rFonts w:ascii="Verdana" w:cs="Verdana" w:eastAsia="Verdana" w:hAnsi="Verdana"/>
          <w:color w:val="2B2B2B"/>
          <w:sz w:val="19"/>
          <w:szCs w:val="19"/>
        </w:rPr>
        <w:t xml:space="preserve">Revenue streams stack in this order: subscription acquisition uplift, since StarME is a reason to subscribe to Fast TV rather than merely a feature within it; credit pack sales across the four tiers; Phase 2 celebrity premium tiers; gifting; brand integrated shells, for example a wedding drama presented by a jewellery brand where the sponsor pays for the shell and the subscriber stars in it; and in time a B2B white label of the pipeline.</w:t>
      </w:r>
    </w:p>
    <w:p>
      <w:pPr>
        <w:spacing w:after="140" w:line="276"/>
        <w:jc w:val="both"/>
      </w:pPr>
      <w:r>
        <w:rPr>
          <w:rFonts w:ascii="Verdana" w:cs="Verdana" w:eastAsia="Verdana" w:hAnsi="Verdana"/>
          <w:color w:val="2B2B2B"/>
          <w:sz w:val="19"/>
          <w:szCs w:val="19"/>
        </w:rPr>
        <w:t xml:space="preserve">The unit economics logic is the defining attraction. Shell production cost is fixed and amortises across every render; personalisation cost is marginal: video generation on Seedance pay as you go terms, GPU time on the face pipeline and QA minutes. Illustratively, the target is a contribution margin above 60 percent at the Season Star tier at launch volumes, improving structurally as shells amortise across thousands of renders and the QA sampling rate falls. This is infinite content economics in its purest commercial form: the marginal cost of one more starring role trends toward compute.</w:t>
      </w:r>
    </w:p>
    <w:p>
      <w:pPr>
        <w:spacing w:after="140" w:line="276"/>
        <w:jc w:val="both"/>
      </w:pPr>
      <w:r>
        <w:rPr>
          <w:rFonts w:ascii="Verdana" w:cs="Verdana" w:eastAsia="Verdana" w:hAnsi="Verdana"/>
          <w:color w:val="2B2B2B"/>
          <w:sz w:val="19"/>
          <w:szCs w:val="19"/>
        </w:rPr>
        <w:t xml:space="preserve">Gate 1 exists precisely to replace these illustrations with measured render costs before any pricing is locked.</w:t>
      </w:r>
    </w:p>
    <w:p>
      <w:pPr>
        <w:pBdr>
          <w:top w:val="single" w:color="9AA7BC" w:sz="4"/>
        </w:pBdr>
        <w:spacing w:after="160" w:before="340"/>
      </w:pPr>
      <w:r>
        <w:rPr>
          <w:rFonts w:ascii="Verdana" w:cs="Verdana" w:eastAsia="Verdana" w:hAnsi="Verdana"/>
          <w:b/>
          <w:bCs/>
          <w:color w:val="C00000"/>
          <w:sz w:val="17"/>
          <w:szCs w:val="17"/>
        </w:rPr>
        <w:t xml:space="preserve">12</w:t>
      </w:r>
      <w:r>
        <w:rPr>
          <w:rFonts w:ascii="Verdana" w:cs="Verdana" w:eastAsia="Verdana" w:hAnsi="Verdana"/>
          <w:b/>
          <w:bCs/>
          <w:color w:val="1F3864"/>
          <w:sz w:val="24"/>
          <w:szCs w:val="24"/>
        </w:rPr>
        <w:t xml:space="preserve">   TECHNOLOGY ARCHITECTURE</w:t>
      </w:r>
    </w:p>
    <w:tbl>
      <w:tblPr>
        <w:tblW w:type="dxa" w:w="9000"/>
        <w:tblBorders>
          <w:top w:val="single" w:color="C8CDD6" w:sz="3"/>
          <w:left w:val="none" w:color="FFFFFF" w:sz="0"/>
          <w:bottom w:val="single" w:color="C8CDD6" w:sz="3"/>
          <w:right w:val="none" w:color="FFFFFF" w:sz="0"/>
          <w:insideH w:val="single" w:color="DDE1E8" w:sz="3"/>
          <w:insideV w:val="none" w:color="FFFFFF" w:sz="0"/>
        </w:tblBorders>
      </w:tblPr>
      <w:tblGrid>
        <w:gridCol w:w="2400"/>
        <w:gridCol w:w="6600"/>
      </w:tblGrid>
      <w:tr>
        <w:tc>
          <w:tcPr>
            <w:tcW w:type="dxa" w:w="2400"/>
            <w:tcMar>
              <w:top w:type="dxa" w:w="70"/>
              <w:left w:type="dxa" w:w="90"/>
              <w:bottom w:type="dxa" w:w="70"/>
              <w:right w:type="dxa" w:w="90"/>
            </w:tcMar>
          </w:tcPr>
          <w:p>
            <w:pPr>
              <w:spacing w:after="0" w:line="252"/>
              <w:jc w:val="left"/>
            </w:pPr>
            <w:r>
              <w:rPr>
                <w:rFonts w:ascii="Verdana" w:cs="Verdana" w:eastAsia="Verdana" w:hAnsi="Verdana"/>
                <w:b/>
                <w:bCs/>
                <w:color w:val="1F3864"/>
                <w:sz w:val="17"/>
                <w:szCs w:val="17"/>
              </w:rPr>
              <w:t xml:space="preserve">Component</w:t>
            </w:r>
          </w:p>
        </w:tc>
        <w:tc>
          <w:tcPr>
            <w:tcW w:type="dxa" w:w="6600"/>
            <w:tcMar>
              <w:top w:type="dxa" w:w="70"/>
              <w:left w:type="dxa" w:w="90"/>
              <w:bottom w:type="dxa" w:w="70"/>
              <w:right w:type="dxa" w:w="90"/>
            </w:tcMar>
          </w:tcPr>
          <w:p>
            <w:pPr>
              <w:spacing w:after="0" w:line="252"/>
              <w:jc w:val="left"/>
            </w:pPr>
            <w:r>
              <w:rPr>
                <w:rFonts w:ascii="Verdana" w:cs="Verdana" w:eastAsia="Verdana" w:hAnsi="Verdana"/>
                <w:b/>
                <w:bCs/>
                <w:color w:val="1F3864"/>
                <w:sz w:val="17"/>
                <w:szCs w:val="17"/>
              </w:rPr>
              <w:t xml:space="preserve">Description</w:t>
            </w:r>
          </w:p>
        </w:tc>
      </w:tr>
      <w:tr>
        <w:tc>
          <w:tcPr>
            <w:tcW w:type="dxa" w:w="2400"/>
            <w:tcMar>
              <w:top w:type="dxa" w:w="70"/>
              <w:left w:type="dxa" w:w="90"/>
              <w:bottom w:type="dxa" w:w="70"/>
              <w:right w:type="dxa" w:w="90"/>
            </w:tcMar>
          </w:tcPr>
          <w:p>
            <w:pPr>
              <w:spacing w:after="0" w:line="252"/>
              <w:jc w:val="left"/>
            </w:pPr>
            <w:r>
              <w:rPr>
                <w:rFonts w:ascii="Verdana" w:cs="Verdana" w:eastAsia="Verdana" w:hAnsi="Verdana"/>
                <w:b/>
                <w:bCs/>
                <w:color w:val="2B2B2B"/>
                <w:sz w:val="18"/>
                <w:szCs w:val="18"/>
              </w:rPr>
              <w:t xml:space="preserve">Fast TV client modules</w:t>
            </w:r>
          </w:p>
        </w:tc>
        <w:tc>
          <w:tcPr>
            <w:tcW w:type="dxa" w:w="6600"/>
            <w:tcMar>
              <w:top w:type="dxa" w:w="70"/>
              <w:left w:type="dxa" w:w="90"/>
              <w:bottom w:type="dxa" w:w="70"/>
              <w:right w:type="dxa" w:w="90"/>
            </w:tcMar>
          </w:tcPr>
          <w:p>
            <w:pPr>
              <w:spacing w:after="0" w:line="252"/>
              <w:jc w:val="left"/>
            </w:pPr>
            <w:r>
              <w:rPr>
                <w:rFonts w:ascii="Verdana" w:cs="Verdana" w:eastAsia="Verdana" w:hAnsi="Verdana"/>
                <w:b w:val="false"/>
                <w:bCs w:val="false"/>
                <w:color w:val="2B2B2B"/>
                <w:sz w:val="18"/>
                <w:szCs w:val="18"/>
              </w:rPr>
              <w:t xml:space="preserve">StarME rail, capture flow, credit store, countdown card, premiere screen, FastME Wall</w:t>
            </w:r>
          </w:p>
        </w:tc>
      </w:tr>
      <w:tr>
        <w:tc>
          <w:tcPr>
            <w:tcW w:type="dxa" w:w="2400"/>
            <w:tcMar>
              <w:top w:type="dxa" w:w="70"/>
              <w:left w:type="dxa" w:w="90"/>
              <w:bottom w:type="dxa" w:w="70"/>
              <w:right w:type="dxa" w:w="90"/>
            </w:tcMar>
          </w:tcPr>
          <w:p>
            <w:pPr>
              <w:spacing w:after="0" w:line="252"/>
              <w:jc w:val="left"/>
            </w:pPr>
            <w:r>
              <w:rPr>
                <w:rFonts w:ascii="Verdana" w:cs="Verdana" w:eastAsia="Verdana" w:hAnsi="Verdana"/>
                <w:b/>
                <w:bCs/>
                <w:color w:val="2B2B2B"/>
                <w:sz w:val="18"/>
                <w:szCs w:val="18"/>
              </w:rPr>
              <w:t xml:space="preserve">Identity service</w:t>
            </w:r>
          </w:p>
        </w:tc>
        <w:tc>
          <w:tcPr>
            <w:tcW w:type="dxa" w:w="6600"/>
            <w:tcMar>
              <w:top w:type="dxa" w:w="70"/>
              <w:left w:type="dxa" w:w="90"/>
              <w:bottom w:type="dxa" w:w="70"/>
              <w:right w:type="dxa" w:w="90"/>
            </w:tcMar>
          </w:tcPr>
          <w:p>
            <w:pPr>
              <w:spacing w:after="0" w:line="252"/>
              <w:jc w:val="left"/>
            </w:pPr>
            <w:r>
              <w:rPr>
                <w:rFonts w:ascii="Verdana" w:cs="Verdana" w:eastAsia="Verdana" w:hAnsi="Verdana"/>
                <w:b w:val="false"/>
                <w:bCs w:val="false"/>
                <w:color w:val="2B2B2B"/>
                <w:sz w:val="18"/>
                <w:szCs w:val="18"/>
              </w:rPr>
              <w:t xml:space="preserve">Liveness, face embeddings, age screen, consent ledger with revocation and deletion</w:t>
            </w:r>
          </w:p>
        </w:tc>
      </w:tr>
      <w:tr>
        <w:tc>
          <w:tcPr>
            <w:tcW w:type="dxa" w:w="2400"/>
            <w:tcMar>
              <w:top w:type="dxa" w:w="70"/>
              <w:left w:type="dxa" w:w="90"/>
              <w:bottom w:type="dxa" w:w="70"/>
              <w:right w:type="dxa" w:w="90"/>
            </w:tcMar>
          </w:tcPr>
          <w:p>
            <w:pPr>
              <w:spacing w:after="0" w:line="252"/>
              <w:jc w:val="left"/>
            </w:pPr>
            <w:r>
              <w:rPr>
                <w:rFonts w:ascii="Verdana" w:cs="Verdana" w:eastAsia="Verdana" w:hAnsi="Verdana"/>
                <w:b/>
                <w:bCs/>
                <w:color w:val="2B2B2B"/>
                <w:sz w:val="18"/>
                <w:szCs w:val="18"/>
              </w:rPr>
              <w:t xml:space="preserve">Shell registry</w:t>
            </w:r>
          </w:p>
        </w:tc>
        <w:tc>
          <w:tcPr>
            <w:tcW w:type="dxa" w:w="6600"/>
            <w:tcMar>
              <w:top w:type="dxa" w:w="70"/>
              <w:left w:type="dxa" w:w="90"/>
              <w:bottom w:type="dxa" w:w="70"/>
              <w:right w:type="dxa" w:w="90"/>
            </w:tcMar>
          </w:tcPr>
          <w:p>
            <w:pPr>
              <w:spacing w:after="0" w:line="252"/>
              <w:jc w:val="left"/>
            </w:pPr>
            <w:r>
              <w:rPr>
                <w:rFonts w:ascii="Verdana" w:cs="Verdana" w:eastAsia="Verdana" w:hAnsi="Verdana"/>
                <w:b w:val="false"/>
                <w:bCs w:val="false"/>
                <w:color w:val="2B2B2B"/>
                <w:sz w:val="18"/>
                <w:szCs w:val="18"/>
              </w:rPr>
              <w:t xml:space="preserve">Shell metadata, swap role maps and per shot annotations produced by CineIQ Analyser at shell certification time</w:t>
            </w:r>
          </w:p>
        </w:tc>
      </w:tr>
      <w:tr>
        <w:tc>
          <w:tcPr>
            <w:tcW w:type="dxa" w:w="2400"/>
            <w:tcMar>
              <w:top w:type="dxa" w:w="70"/>
              <w:left w:type="dxa" w:w="90"/>
              <w:bottom w:type="dxa" w:w="70"/>
              <w:right w:type="dxa" w:w="90"/>
            </w:tcMar>
          </w:tcPr>
          <w:p>
            <w:pPr>
              <w:spacing w:after="0" w:line="252"/>
              <w:jc w:val="left"/>
            </w:pPr>
            <w:r>
              <w:rPr>
                <w:rFonts w:ascii="Verdana" w:cs="Verdana" w:eastAsia="Verdana" w:hAnsi="Verdana"/>
                <w:b/>
                <w:bCs/>
                <w:color w:val="2B2B2B"/>
                <w:sz w:val="18"/>
                <w:szCs w:val="18"/>
              </w:rPr>
              <w:t xml:space="preserve">Render orchestrator</w:t>
            </w:r>
          </w:p>
        </w:tc>
        <w:tc>
          <w:tcPr>
            <w:tcW w:type="dxa" w:w="6600"/>
            <w:tcMar>
              <w:top w:type="dxa" w:w="70"/>
              <w:left w:type="dxa" w:w="90"/>
              <w:bottom w:type="dxa" w:w="70"/>
              <w:right w:type="dxa" w:w="90"/>
            </w:tcMar>
          </w:tcPr>
          <w:p>
            <w:pPr>
              <w:spacing w:after="0" w:line="252"/>
              <w:jc w:val="left"/>
            </w:pPr>
            <w:r>
              <w:rPr>
                <w:rFonts w:ascii="Verdana" w:cs="Verdana" w:eastAsia="Verdana" w:hAnsi="Verdana"/>
                <w:b w:val="false"/>
                <w:bCs w:val="false"/>
                <w:color w:val="2B2B2B"/>
                <w:sz w:val="18"/>
                <w:szCs w:val="18"/>
              </w:rPr>
              <w:t xml:space="preserve">The principal net new build: order queue, tier priority, per shot job dispatch to Seedance 2.0 video to video and internal swap models, retries, cost metering per order</w:t>
            </w:r>
          </w:p>
        </w:tc>
      </w:tr>
      <w:tr>
        <w:tc>
          <w:tcPr>
            <w:tcW w:type="dxa" w:w="2400"/>
            <w:tcMar>
              <w:top w:type="dxa" w:w="70"/>
              <w:left w:type="dxa" w:w="90"/>
              <w:bottom w:type="dxa" w:w="70"/>
              <w:right w:type="dxa" w:w="90"/>
            </w:tcMar>
          </w:tcPr>
          <w:p>
            <w:pPr>
              <w:spacing w:after="0" w:line="252"/>
              <w:jc w:val="left"/>
            </w:pPr>
            <w:r>
              <w:rPr>
                <w:rFonts w:ascii="Verdana" w:cs="Verdana" w:eastAsia="Verdana" w:hAnsi="Verdana"/>
                <w:b/>
                <w:bCs/>
                <w:color w:val="2B2B2B"/>
                <w:sz w:val="18"/>
                <w:szCs w:val="18"/>
              </w:rPr>
              <w:t xml:space="preserve">QA service</w:t>
            </w:r>
          </w:p>
        </w:tc>
        <w:tc>
          <w:tcPr>
            <w:tcW w:type="dxa" w:w="6600"/>
            <w:tcMar>
              <w:top w:type="dxa" w:w="70"/>
              <w:left w:type="dxa" w:w="90"/>
              <w:bottom w:type="dxa" w:w="70"/>
              <w:right w:type="dxa" w:w="90"/>
            </w:tcMar>
          </w:tcPr>
          <w:p>
            <w:pPr>
              <w:spacing w:after="0" w:line="252"/>
              <w:jc w:val="left"/>
            </w:pPr>
            <w:r>
              <w:rPr>
                <w:rFonts w:ascii="Verdana" w:cs="Verdana" w:eastAsia="Verdana" w:hAnsi="Verdana"/>
                <w:b w:val="false"/>
                <w:bCs w:val="false"/>
                <w:color w:val="2B2B2B"/>
                <w:sz w:val="18"/>
                <w:szCs w:val="18"/>
              </w:rPr>
              <w:t xml:space="preserve">Identity similarity scoring, artifact detection, safety classification and a human review console</w:t>
            </w:r>
          </w:p>
        </w:tc>
      </w:tr>
      <w:tr>
        <w:tc>
          <w:tcPr>
            <w:tcW w:type="dxa" w:w="2400"/>
            <w:tcMar>
              <w:top w:type="dxa" w:w="70"/>
              <w:left w:type="dxa" w:w="90"/>
              <w:bottom w:type="dxa" w:w="70"/>
              <w:right w:type="dxa" w:w="90"/>
            </w:tcMar>
          </w:tcPr>
          <w:p>
            <w:pPr>
              <w:spacing w:after="0" w:line="252"/>
              <w:jc w:val="left"/>
            </w:pPr>
            <w:r>
              <w:rPr>
                <w:rFonts w:ascii="Verdana" w:cs="Verdana" w:eastAsia="Verdana" w:hAnsi="Verdana"/>
                <w:b/>
                <w:bCs/>
                <w:color w:val="2B2B2B"/>
                <w:sz w:val="18"/>
                <w:szCs w:val="18"/>
              </w:rPr>
              <w:t xml:space="preserve">Assembly service</w:t>
            </w:r>
          </w:p>
        </w:tc>
        <w:tc>
          <w:tcPr>
            <w:tcW w:type="dxa" w:w="6600"/>
            <w:tcMar>
              <w:top w:type="dxa" w:w="70"/>
              <w:left w:type="dxa" w:w="90"/>
              <w:bottom w:type="dxa" w:w="70"/>
              <w:right w:type="dxa" w:w="90"/>
            </w:tcMar>
          </w:tcPr>
          <w:p>
            <w:pPr>
              <w:spacing w:after="0" w:line="252"/>
              <w:jc w:val="left"/>
            </w:pPr>
            <w:r>
              <w:rPr>
                <w:rFonts w:ascii="Verdana" w:cs="Verdana" w:eastAsia="Verdana" w:hAnsi="Verdana"/>
                <w:b w:val="false"/>
                <w:bCs w:val="false"/>
                <w:color w:val="2B2B2B"/>
                <w:sz w:val="18"/>
                <w:szCs w:val="18"/>
              </w:rPr>
              <w:t xml:space="preserve">Credits personalisation, poster and trailer generation, watermarking, C2PA signing, packaging</w:t>
            </w:r>
          </w:p>
        </w:tc>
      </w:tr>
      <w:tr>
        <w:tc>
          <w:tcPr>
            <w:tcW w:type="dxa" w:w="2400"/>
            <w:tcMar>
              <w:top w:type="dxa" w:w="70"/>
              <w:left w:type="dxa" w:w="90"/>
              <w:bottom w:type="dxa" w:w="70"/>
              <w:right w:type="dxa" w:w="90"/>
            </w:tcMar>
          </w:tcPr>
          <w:p>
            <w:pPr>
              <w:spacing w:after="0" w:line="252"/>
              <w:jc w:val="left"/>
            </w:pPr>
            <w:r>
              <w:rPr>
                <w:rFonts w:ascii="Verdana" w:cs="Verdana" w:eastAsia="Verdana" w:hAnsi="Verdana"/>
                <w:b/>
                <w:bCs/>
                <w:color w:val="2B2B2B"/>
                <w:sz w:val="18"/>
                <w:szCs w:val="18"/>
              </w:rPr>
              <w:t xml:space="preserve">Delivery</w:t>
            </w:r>
          </w:p>
        </w:tc>
        <w:tc>
          <w:tcPr>
            <w:tcW w:type="dxa" w:w="6600"/>
            <w:tcMar>
              <w:top w:type="dxa" w:w="70"/>
              <w:left w:type="dxa" w:w="90"/>
              <w:bottom w:type="dxa" w:w="70"/>
              <w:right w:type="dxa" w:w="90"/>
            </w:tcMar>
          </w:tcPr>
          <w:p>
            <w:pPr>
              <w:spacing w:after="0" w:line="252"/>
              <w:jc w:val="left"/>
            </w:pPr>
            <w:r>
              <w:rPr>
                <w:rFonts w:ascii="Verdana" w:cs="Verdana" w:eastAsia="Verdana" w:hAnsi="Verdana"/>
                <w:b w:val="false"/>
                <w:bCs w:val="false"/>
                <w:color w:val="2B2B2B"/>
                <w:sz w:val="18"/>
                <w:szCs w:val="18"/>
              </w:rPr>
              <w:t xml:space="preserve">CDN publish, push and WhatsApp notification, share kit generation</w:t>
            </w:r>
          </w:p>
        </w:tc>
      </w:tr>
    </w:tbl>
    <w:p>
      <w:pPr>
        <w:spacing w:after="80"/>
      </w:pPr>
    </w:p>
    <w:p>
      <w:pPr>
        <w:spacing w:after="140" w:line="276"/>
        <w:jc w:val="both"/>
      </w:pPr>
      <w:r>
        <w:rPr>
          <w:rFonts w:ascii="Verdana" w:cs="Verdana" w:eastAsia="Verdana" w:hAnsi="Verdana"/>
          <w:color w:val="2B2B2B"/>
          <w:sz w:val="19"/>
          <w:szCs w:val="19"/>
        </w:rPr>
        <w:t xml:space="preserve">Build posture: the identity and analysis layers reuse CineIQ Analyser components already in production (InsightFace embeddings, scene detection, per shot annotation), so the render orchestrator is the core engineering investment. The NVIDIA Solutions Architect embedded in the CineIQ build should review the render farm design against the agreed migration path (TensorRT and NIM), and Yotta capacity is the natural home for the render queue at scale. The Seedance video to video path for per shot character transfer should be validated directly with the ByteDance and BytePlus teams: the China trip of 31 July to 5 August is the venue, and StarME belongs on the Seedance anchor meeting agenda.</w:t>
      </w:r>
    </w:p>
    <w:p>
      <w:pPr>
        <w:pBdr>
          <w:top w:val="single" w:color="9AA7BC" w:sz="4"/>
        </w:pBdr>
        <w:spacing w:after="160" w:before="340"/>
      </w:pPr>
      <w:r>
        <w:rPr>
          <w:rFonts w:ascii="Verdana" w:cs="Verdana" w:eastAsia="Verdana" w:hAnsi="Verdana"/>
          <w:b/>
          <w:bCs/>
          <w:color w:val="C00000"/>
          <w:sz w:val="17"/>
          <w:szCs w:val="17"/>
        </w:rPr>
        <w:t xml:space="preserve">13</w:t>
      </w:r>
      <w:r>
        <w:rPr>
          <w:rFonts w:ascii="Verdana" w:cs="Verdana" w:eastAsia="Verdana" w:hAnsi="Verdana"/>
          <w:b/>
          <w:bCs/>
          <w:color w:val="1F3864"/>
          <w:sz w:val="24"/>
          <w:szCs w:val="24"/>
        </w:rPr>
        <w:t xml:space="preserve">   OPERATIONS AND SERVICE LEVELS</w:t>
      </w:r>
    </w:p>
    <w:p>
      <w:pPr>
        <w:spacing w:after="140" w:line="276"/>
        <w:jc w:val="both"/>
      </w:pPr>
      <w:r>
        <w:rPr>
          <w:rFonts w:ascii="Verdana" w:cs="Verdana" w:eastAsia="Verdana" w:hAnsi="Verdana"/>
          <w:color w:val="2B2B2B"/>
          <w:sz w:val="19"/>
          <w:szCs w:val="19"/>
        </w:rPr>
        <w:t xml:space="preserve">Public SLA of 12 hours; internal target of four. Human review of 100 percent of outputs for the first 90 days, moving to risk weighted sampling as automated QA proves itself: manual first, automate behind. A dedicated support lane handles re-renders, refunds and consent revocations with defined turnaround. Render capacity is scheduled to favour off peak GPU windows, with the Superstar tier holding queue priority. Every order carries a full cost trace so the finance view of margin per render is a report, not a study.</w:t>
      </w:r>
    </w:p>
    <w:p>
      <w:pPr>
        <w:pBdr>
          <w:top w:val="single" w:color="9AA7BC" w:sz="4"/>
        </w:pBdr>
        <w:spacing w:after="160" w:before="340"/>
      </w:pPr>
      <w:r>
        <w:rPr>
          <w:rFonts w:ascii="Verdana" w:cs="Verdana" w:eastAsia="Verdana" w:hAnsi="Verdana"/>
          <w:b/>
          <w:bCs/>
          <w:color w:val="C00000"/>
          <w:sz w:val="17"/>
          <w:szCs w:val="17"/>
        </w:rPr>
        <w:t xml:space="preserve">14</w:t>
      </w:r>
      <w:r>
        <w:rPr>
          <w:rFonts w:ascii="Verdana" w:cs="Verdana" w:eastAsia="Verdana" w:hAnsi="Verdana"/>
          <w:b/>
          <w:bCs/>
          <w:color w:val="1F3864"/>
          <w:sz w:val="24"/>
          <w:szCs w:val="24"/>
        </w:rPr>
        <w:t xml:space="preserve">   METRICS THAT MATTER</w:t>
      </w:r>
    </w:p>
    <w:tbl>
      <w:tblPr>
        <w:tblW w:type="dxa" w:w="9000"/>
        <w:tblBorders>
          <w:top w:val="single" w:color="C8CDD6" w:sz="3"/>
          <w:left w:val="none" w:color="FFFFFF" w:sz="0"/>
          <w:bottom w:val="single" w:color="C8CDD6" w:sz="3"/>
          <w:right w:val="none" w:color="FFFFFF" w:sz="0"/>
          <w:insideH w:val="single" w:color="DDE1E8" w:sz="3"/>
          <w:insideV w:val="none" w:color="FFFFFF" w:sz="0"/>
        </w:tblBorders>
      </w:tblPr>
      <w:tblGrid>
        <w:gridCol w:w="3300"/>
        <w:gridCol w:w="5700"/>
      </w:tblGrid>
      <w:tr>
        <w:tc>
          <w:tcPr>
            <w:tcW w:type="dxa" w:w="3300"/>
            <w:tcMar>
              <w:top w:type="dxa" w:w="70"/>
              <w:left w:type="dxa" w:w="90"/>
              <w:bottom w:type="dxa" w:w="70"/>
              <w:right w:type="dxa" w:w="90"/>
            </w:tcMar>
          </w:tcPr>
          <w:p>
            <w:pPr>
              <w:spacing w:after="0" w:line="252"/>
              <w:jc w:val="left"/>
            </w:pPr>
            <w:r>
              <w:rPr>
                <w:rFonts w:ascii="Verdana" w:cs="Verdana" w:eastAsia="Verdana" w:hAnsi="Verdana"/>
                <w:b/>
                <w:bCs/>
                <w:color w:val="1F3864"/>
                <w:sz w:val="17"/>
                <w:szCs w:val="17"/>
              </w:rPr>
              <w:t xml:space="preserve">Metric</w:t>
            </w:r>
          </w:p>
        </w:tc>
        <w:tc>
          <w:tcPr>
            <w:tcW w:type="dxa" w:w="5700"/>
            <w:tcMar>
              <w:top w:type="dxa" w:w="70"/>
              <w:left w:type="dxa" w:w="90"/>
              <w:bottom w:type="dxa" w:w="70"/>
              <w:right w:type="dxa" w:w="90"/>
            </w:tcMar>
          </w:tcPr>
          <w:p>
            <w:pPr>
              <w:spacing w:after="0" w:line="252"/>
              <w:jc w:val="left"/>
            </w:pPr>
            <w:r>
              <w:rPr>
                <w:rFonts w:ascii="Verdana" w:cs="Verdana" w:eastAsia="Verdana" w:hAnsi="Verdana"/>
                <w:b/>
                <w:bCs/>
                <w:color w:val="1F3864"/>
                <w:sz w:val="17"/>
                <w:szCs w:val="17"/>
              </w:rPr>
              <w:t xml:space="preserve">Why it matters</w:t>
            </w:r>
          </w:p>
        </w:tc>
      </w:tr>
      <w:tr>
        <w:tc>
          <w:tcPr>
            <w:tcW w:type="dxa" w:w="3300"/>
            <w:tcMar>
              <w:top w:type="dxa" w:w="70"/>
              <w:left w:type="dxa" w:w="90"/>
              <w:bottom w:type="dxa" w:w="70"/>
              <w:right w:type="dxa" w:w="90"/>
            </w:tcMar>
          </w:tcPr>
          <w:p>
            <w:pPr>
              <w:spacing w:after="0" w:line="252"/>
              <w:jc w:val="left"/>
            </w:pPr>
            <w:r>
              <w:rPr>
                <w:rFonts w:ascii="Verdana" w:cs="Verdana" w:eastAsia="Verdana" w:hAnsi="Verdana"/>
                <w:b/>
                <w:bCs/>
                <w:color w:val="2B2B2B"/>
                <w:sz w:val="18"/>
                <w:szCs w:val="18"/>
              </w:rPr>
              <w:t xml:space="preserve">Attach rate</w:t>
            </w:r>
          </w:p>
        </w:tc>
        <w:tc>
          <w:tcPr>
            <w:tcW w:type="dxa" w:w="5700"/>
            <w:tcMar>
              <w:top w:type="dxa" w:w="70"/>
              <w:left w:type="dxa" w:w="90"/>
              <w:bottom w:type="dxa" w:w="70"/>
              <w:right w:type="dxa" w:w="90"/>
            </w:tcMar>
          </w:tcPr>
          <w:p>
            <w:pPr>
              <w:spacing w:after="0" w:line="252"/>
              <w:jc w:val="left"/>
            </w:pPr>
            <w:r>
              <w:rPr>
                <w:rFonts w:ascii="Verdana" w:cs="Verdana" w:eastAsia="Verdana" w:hAnsi="Verdana"/>
                <w:b w:val="false"/>
                <w:bCs w:val="false"/>
                <w:color w:val="2B2B2B"/>
                <w:sz w:val="18"/>
                <w:szCs w:val="18"/>
              </w:rPr>
              <w:t xml:space="preserve">Percent of Fast TV subscribers who order a StarME drama in their first 30 days: the headline product-market fit signal</w:t>
            </w:r>
          </w:p>
        </w:tc>
      </w:tr>
      <w:tr>
        <w:tc>
          <w:tcPr>
            <w:tcW w:type="dxa" w:w="3300"/>
            <w:tcMar>
              <w:top w:type="dxa" w:w="70"/>
              <w:left w:type="dxa" w:w="90"/>
              <w:bottom w:type="dxa" w:w="70"/>
              <w:right w:type="dxa" w:w="90"/>
            </w:tcMar>
          </w:tcPr>
          <w:p>
            <w:pPr>
              <w:spacing w:after="0" w:line="252"/>
              <w:jc w:val="left"/>
            </w:pPr>
            <w:r>
              <w:rPr>
                <w:rFonts w:ascii="Verdana" w:cs="Verdana" w:eastAsia="Verdana" w:hAnsi="Verdana"/>
                <w:b/>
                <w:bCs/>
                <w:color w:val="2B2B2B"/>
                <w:sz w:val="18"/>
                <w:szCs w:val="18"/>
              </w:rPr>
              <w:t xml:space="preserve">Capture completion</w:t>
            </w:r>
          </w:p>
        </w:tc>
        <w:tc>
          <w:tcPr>
            <w:tcW w:type="dxa" w:w="5700"/>
            <w:tcMar>
              <w:top w:type="dxa" w:w="70"/>
              <w:left w:type="dxa" w:w="90"/>
              <w:bottom w:type="dxa" w:w="70"/>
              <w:right w:type="dxa" w:w="90"/>
            </w:tcMar>
          </w:tcPr>
          <w:p>
            <w:pPr>
              <w:spacing w:after="0" w:line="252"/>
              <w:jc w:val="left"/>
            </w:pPr>
            <w:r>
              <w:rPr>
                <w:rFonts w:ascii="Verdana" w:cs="Verdana" w:eastAsia="Verdana" w:hAnsi="Verdana"/>
                <w:b w:val="false"/>
                <w:bCs w:val="false"/>
                <w:color w:val="2B2B2B"/>
                <w:sz w:val="18"/>
                <w:szCs w:val="18"/>
              </w:rPr>
              <w:t xml:space="preserve">Drop off at selfie, liveness and consent steps exposes friction in the most sensitive part of the funnel</w:t>
            </w:r>
          </w:p>
        </w:tc>
      </w:tr>
      <w:tr>
        <w:tc>
          <w:tcPr>
            <w:tcW w:type="dxa" w:w="3300"/>
            <w:tcMar>
              <w:top w:type="dxa" w:w="70"/>
              <w:left w:type="dxa" w:w="90"/>
              <w:bottom w:type="dxa" w:w="70"/>
              <w:right w:type="dxa" w:w="90"/>
            </w:tcMar>
          </w:tcPr>
          <w:p>
            <w:pPr>
              <w:spacing w:after="0" w:line="252"/>
              <w:jc w:val="left"/>
            </w:pPr>
            <w:r>
              <w:rPr>
                <w:rFonts w:ascii="Verdana" w:cs="Verdana" w:eastAsia="Verdana" w:hAnsi="Verdana"/>
                <w:b/>
                <w:bCs/>
                <w:color w:val="2B2B2B"/>
                <w:sz w:val="18"/>
                <w:szCs w:val="18"/>
              </w:rPr>
              <w:t xml:space="preserve">Render success and re-render rate</w:t>
            </w:r>
          </w:p>
        </w:tc>
        <w:tc>
          <w:tcPr>
            <w:tcW w:type="dxa" w:w="5700"/>
            <w:tcMar>
              <w:top w:type="dxa" w:w="70"/>
              <w:left w:type="dxa" w:w="90"/>
              <w:bottom w:type="dxa" w:w="70"/>
              <w:right w:type="dxa" w:w="90"/>
            </w:tcMar>
          </w:tcPr>
          <w:p>
            <w:pPr>
              <w:spacing w:after="0" w:line="252"/>
              <w:jc w:val="left"/>
            </w:pPr>
            <w:r>
              <w:rPr>
                <w:rFonts w:ascii="Verdana" w:cs="Verdana" w:eastAsia="Verdana" w:hAnsi="Verdana"/>
                <w:b w:val="false"/>
                <w:bCs w:val="false"/>
                <w:color w:val="2B2B2B"/>
                <w:sz w:val="18"/>
                <w:szCs w:val="18"/>
              </w:rPr>
              <w:t xml:space="preserve">Direct read on pipeline quality and the cost of the generosity policy</w:t>
            </w:r>
          </w:p>
        </w:tc>
      </w:tr>
      <w:tr>
        <w:tc>
          <w:tcPr>
            <w:tcW w:type="dxa" w:w="3300"/>
            <w:tcMar>
              <w:top w:type="dxa" w:w="70"/>
              <w:left w:type="dxa" w:w="90"/>
              <w:bottom w:type="dxa" w:w="70"/>
              <w:right w:type="dxa" w:w="90"/>
            </w:tcMar>
          </w:tcPr>
          <w:p>
            <w:pPr>
              <w:spacing w:after="0" w:line="252"/>
              <w:jc w:val="left"/>
            </w:pPr>
            <w:r>
              <w:rPr>
                <w:rFonts w:ascii="Verdana" w:cs="Verdana" w:eastAsia="Verdana" w:hAnsi="Verdana"/>
                <w:b/>
                <w:bCs/>
                <w:color w:val="2B2B2B"/>
                <w:sz w:val="18"/>
                <w:szCs w:val="18"/>
              </w:rPr>
              <w:t xml:space="preserve">SLA adherence</w:t>
            </w:r>
          </w:p>
        </w:tc>
        <w:tc>
          <w:tcPr>
            <w:tcW w:type="dxa" w:w="5700"/>
            <w:tcMar>
              <w:top w:type="dxa" w:w="70"/>
              <w:left w:type="dxa" w:w="90"/>
              <w:bottom w:type="dxa" w:w="70"/>
              <w:right w:type="dxa" w:w="90"/>
            </w:tcMar>
          </w:tcPr>
          <w:p>
            <w:pPr>
              <w:spacing w:after="0" w:line="252"/>
              <w:jc w:val="left"/>
            </w:pPr>
            <w:r>
              <w:rPr>
                <w:rFonts w:ascii="Verdana" w:cs="Verdana" w:eastAsia="Verdana" w:hAnsi="Verdana"/>
                <w:b w:val="false"/>
                <w:bCs w:val="false"/>
                <w:color w:val="2B2B2B"/>
                <w:sz w:val="18"/>
                <w:szCs w:val="18"/>
              </w:rPr>
              <w:t xml:space="preserve">The 12 hour promise is the brand promise</w:t>
            </w:r>
          </w:p>
        </w:tc>
      </w:tr>
      <w:tr>
        <w:tc>
          <w:tcPr>
            <w:tcW w:type="dxa" w:w="3300"/>
            <w:tcMar>
              <w:top w:type="dxa" w:w="70"/>
              <w:left w:type="dxa" w:w="90"/>
              <w:bottom w:type="dxa" w:w="70"/>
              <w:right w:type="dxa" w:w="90"/>
            </w:tcMar>
          </w:tcPr>
          <w:p>
            <w:pPr>
              <w:spacing w:after="0" w:line="252"/>
              <w:jc w:val="left"/>
            </w:pPr>
            <w:r>
              <w:rPr>
                <w:rFonts w:ascii="Verdana" w:cs="Verdana" w:eastAsia="Verdana" w:hAnsi="Verdana"/>
                <w:b/>
                <w:bCs/>
                <w:color w:val="2B2B2B"/>
                <w:sz w:val="18"/>
                <w:szCs w:val="18"/>
              </w:rPr>
              <w:t xml:space="preserve">Share rate and installs per share</w:t>
            </w:r>
          </w:p>
        </w:tc>
        <w:tc>
          <w:tcPr>
            <w:tcW w:type="dxa" w:w="5700"/>
            <w:tcMar>
              <w:top w:type="dxa" w:w="70"/>
              <w:left w:type="dxa" w:w="90"/>
              <w:bottom w:type="dxa" w:w="70"/>
              <w:right w:type="dxa" w:w="90"/>
            </w:tcMar>
          </w:tcPr>
          <w:p>
            <w:pPr>
              <w:spacing w:after="0" w:line="252"/>
              <w:jc w:val="left"/>
            </w:pPr>
            <w:r>
              <w:rPr>
                <w:rFonts w:ascii="Verdana" w:cs="Verdana" w:eastAsia="Verdana" w:hAnsi="Verdana"/>
                <w:b w:val="false"/>
                <w:bCs w:val="false"/>
                <w:color w:val="2B2B2B"/>
                <w:sz w:val="18"/>
                <w:szCs w:val="18"/>
              </w:rPr>
              <w:t xml:space="preserve">The viral coefficient: whether premiere screens convert into acquisition</w:t>
            </w:r>
          </w:p>
        </w:tc>
      </w:tr>
      <w:tr>
        <w:tc>
          <w:tcPr>
            <w:tcW w:type="dxa" w:w="3300"/>
            <w:tcMar>
              <w:top w:type="dxa" w:w="70"/>
              <w:left w:type="dxa" w:w="90"/>
              <w:bottom w:type="dxa" w:w="70"/>
              <w:right w:type="dxa" w:w="90"/>
            </w:tcMar>
          </w:tcPr>
          <w:p>
            <w:pPr>
              <w:spacing w:after="0" w:line="252"/>
              <w:jc w:val="left"/>
            </w:pPr>
            <w:r>
              <w:rPr>
                <w:rFonts w:ascii="Verdana" w:cs="Verdana" w:eastAsia="Verdana" w:hAnsi="Verdana"/>
                <w:b/>
                <w:bCs/>
                <w:color w:val="2B2B2B"/>
                <w:sz w:val="18"/>
                <w:szCs w:val="18"/>
              </w:rPr>
              <w:t xml:space="preserve">Credit repurchase and gifting rate</w:t>
            </w:r>
          </w:p>
        </w:tc>
        <w:tc>
          <w:tcPr>
            <w:tcW w:type="dxa" w:w="5700"/>
            <w:tcMar>
              <w:top w:type="dxa" w:w="70"/>
              <w:left w:type="dxa" w:w="90"/>
              <w:bottom w:type="dxa" w:w="70"/>
              <w:right w:type="dxa" w:w="90"/>
            </w:tcMar>
          </w:tcPr>
          <w:p>
            <w:pPr>
              <w:spacing w:after="0" w:line="252"/>
              <w:jc w:val="left"/>
            </w:pPr>
            <w:r>
              <w:rPr>
                <w:rFonts w:ascii="Verdana" w:cs="Verdana" w:eastAsia="Verdana" w:hAnsi="Verdana"/>
                <w:b w:val="false"/>
                <w:bCs w:val="false"/>
                <w:color w:val="2B2B2B"/>
                <w:sz w:val="18"/>
                <w:szCs w:val="18"/>
              </w:rPr>
              <w:t xml:space="preserve">Whether StarME is an event or a habit</w:t>
            </w:r>
          </w:p>
        </w:tc>
      </w:tr>
      <w:tr>
        <w:tc>
          <w:tcPr>
            <w:tcW w:type="dxa" w:w="3300"/>
            <w:tcMar>
              <w:top w:type="dxa" w:w="70"/>
              <w:left w:type="dxa" w:w="90"/>
              <w:bottom w:type="dxa" w:w="70"/>
              <w:right w:type="dxa" w:w="90"/>
            </w:tcMar>
          </w:tcPr>
          <w:p>
            <w:pPr>
              <w:spacing w:after="0" w:line="252"/>
              <w:jc w:val="left"/>
            </w:pPr>
            <w:r>
              <w:rPr>
                <w:rFonts w:ascii="Verdana" w:cs="Verdana" w:eastAsia="Verdana" w:hAnsi="Verdana"/>
                <w:b/>
                <w:bCs/>
                <w:color w:val="2B2B2B"/>
                <w:sz w:val="18"/>
                <w:szCs w:val="18"/>
              </w:rPr>
              <w:t xml:space="preserve">Contribution margin per render</w:t>
            </w:r>
          </w:p>
        </w:tc>
        <w:tc>
          <w:tcPr>
            <w:tcW w:type="dxa" w:w="5700"/>
            <w:tcMar>
              <w:top w:type="dxa" w:w="70"/>
              <w:left w:type="dxa" w:w="90"/>
              <w:bottom w:type="dxa" w:w="70"/>
              <w:right w:type="dxa" w:w="90"/>
            </w:tcMar>
          </w:tcPr>
          <w:p>
            <w:pPr>
              <w:spacing w:after="0" w:line="252"/>
              <w:jc w:val="left"/>
            </w:pPr>
            <w:r>
              <w:rPr>
                <w:rFonts w:ascii="Verdana" w:cs="Verdana" w:eastAsia="Verdana" w:hAnsi="Verdana"/>
                <w:b w:val="false"/>
                <w:bCs w:val="false"/>
                <w:color w:val="2B2B2B"/>
                <w:sz w:val="18"/>
                <w:szCs w:val="18"/>
              </w:rPr>
              <w:t xml:space="preserve">The unit economics truth against the Section 11 targets</w:t>
            </w:r>
          </w:p>
        </w:tc>
      </w:tr>
    </w:tbl>
    <w:p>
      <w:pPr>
        <w:pBdr>
          <w:top w:val="single" w:color="9AA7BC" w:sz="4"/>
        </w:pBdr>
        <w:spacing w:after="160" w:before="340"/>
      </w:pPr>
      <w:r>
        <w:rPr>
          <w:rFonts w:ascii="Verdana" w:cs="Verdana" w:eastAsia="Verdana" w:hAnsi="Verdana"/>
          <w:b/>
          <w:bCs/>
          <w:color w:val="C00000"/>
          <w:sz w:val="17"/>
          <w:szCs w:val="17"/>
        </w:rPr>
        <w:t xml:space="preserve">15</w:t>
      </w:r>
      <w:r>
        <w:rPr>
          <w:rFonts w:ascii="Verdana" w:cs="Verdana" w:eastAsia="Verdana" w:hAnsi="Verdana"/>
          <w:b/>
          <w:bCs/>
          <w:color w:val="1F3864"/>
          <w:sz w:val="24"/>
          <w:szCs w:val="24"/>
        </w:rPr>
        <w:t xml:space="preserve">   RISKS AND MITIGATIONS</w:t>
      </w:r>
    </w:p>
    <w:tbl>
      <w:tblPr>
        <w:tblW w:type="dxa" w:w="9000"/>
        <w:tblBorders>
          <w:top w:val="single" w:color="C8CDD6" w:sz="3"/>
          <w:left w:val="none" w:color="FFFFFF" w:sz="0"/>
          <w:bottom w:val="single" w:color="C8CDD6" w:sz="3"/>
          <w:right w:val="none" w:color="FFFFFF" w:sz="0"/>
          <w:insideH w:val="single" w:color="DDE1E8" w:sz="3"/>
          <w:insideV w:val="none" w:color="FFFFFF" w:sz="0"/>
        </w:tblBorders>
      </w:tblPr>
      <w:tblGrid>
        <w:gridCol w:w="2600"/>
        <w:gridCol w:w="6400"/>
      </w:tblGrid>
      <w:tr>
        <w:tc>
          <w:tcPr>
            <w:tcW w:type="dxa" w:w="2600"/>
            <w:tcMar>
              <w:top w:type="dxa" w:w="70"/>
              <w:left w:type="dxa" w:w="90"/>
              <w:bottom w:type="dxa" w:w="70"/>
              <w:right w:type="dxa" w:w="90"/>
            </w:tcMar>
          </w:tcPr>
          <w:p>
            <w:pPr>
              <w:spacing w:after="0" w:line="252"/>
              <w:jc w:val="left"/>
            </w:pPr>
            <w:r>
              <w:rPr>
                <w:rFonts w:ascii="Verdana" w:cs="Verdana" w:eastAsia="Verdana" w:hAnsi="Verdana"/>
                <w:b/>
                <w:bCs/>
                <w:color w:val="1F3864"/>
                <w:sz w:val="17"/>
                <w:szCs w:val="17"/>
              </w:rPr>
              <w:t xml:space="preserve">Risk</w:t>
            </w:r>
          </w:p>
        </w:tc>
        <w:tc>
          <w:tcPr>
            <w:tcW w:type="dxa" w:w="6400"/>
            <w:tcMar>
              <w:top w:type="dxa" w:w="70"/>
              <w:left w:type="dxa" w:w="90"/>
              <w:bottom w:type="dxa" w:w="70"/>
              <w:right w:type="dxa" w:w="90"/>
            </w:tcMar>
          </w:tcPr>
          <w:p>
            <w:pPr>
              <w:spacing w:after="0" w:line="252"/>
              <w:jc w:val="left"/>
            </w:pPr>
            <w:r>
              <w:rPr>
                <w:rFonts w:ascii="Verdana" w:cs="Verdana" w:eastAsia="Verdana" w:hAnsi="Verdana"/>
                <w:b/>
                <w:bCs/>
                <w:color w:val="1F3864"/>
                <w:sz w:val="17"/>
                <w:szCs w:val="17"/>
              </w:rPr>
              <w:t xml:space="preserve">Mitigation</w:t>
            </w:r>
          </w:p>
        </w:tc>
      </w:tr>
      <w:tr>
        <w:tc>
          <w:tcPr>
            <w:tcW w:type="dxa" w:w="2600"/>
            <w:tcMar>
              <w:top w:type="dxa" w:w="70"/>
              <w:left w:type="dxa" w:w="90"/>
              <w:bottom w:type="dxa" w:w="70"/>
              <w:right w:type="dxa" w:w="90"/>
            </w:tcMar>
          </w:tcPr>
          <w:p>
            <w:pPr>
              <w:spacing w:after="0" w:line="252"/>
              <w:jc w:val="left"/>
            </w:pPr>
            <w:r>
              <w:rPr>
                <w:rFonts w:ascii="Verdana" w:cs="Verdana" w:eastAsia="Verdana" w:hAnsi="Verdana"/>
                <w:b/>
                <w:bCs/>
                <w:color w:val="2B2B2B"/>
                <w:sz w:val="18"/>
                <w:szCs w:val="18"/>
              </w:rPr>
              <w:t xml:space="preserve">Synthetic media backlash</w:t>
            </w:r>
          </w:p>
        </w:tc>
        <w:tc>
          <w:tcPr>
            <w:tcW w:type="dxa" w:w="6400"/>
            <w:tcMar>
              <w:top w:type="dxa" w:w="70"/>
              <w:left w:type="dxa" w:w="90"/>
              <w:bottom w:type="dxa" w:w="70"/>
              <w:right w:type="dxa" w:w="90"/>
            </w:tcMar>
          </w:tcPr>
          <w:p>
            <w:pPr>
              <w:spacing w:after="0" w:line="252"/>
              <w:jc w:val="left"/>
            </w:pPr>
            <w:r>
              <w:rPr>
                <w:rFonts w:ascii="Verdana" w:cs="Verdana" w:eastAsia="Verdana" w:hAnsi="Verdana"/>
                <w:b w:val="false"/>
                <w:bCs w:val="false"/>
                <w:color w:val="2B2B2B"/>
                <w:sz w:val="18"/>
                <w:szCs w:val="18"/>
              </w:rPr>
              <w:t xml:space="preserve">Consent first architecture, own face only, provenance by default, visible labelling and the Personal Dignity review: lead the category on trust rather than react to it</w:t>
            </w:r>
          </w:p>
        </w:tc>
      </w:tr>
      <w:tr>
        <w:tc>
          <w:tcPr>
            <w:tcW w:type="dxa" w:w="2600"/>
            <w:tcMar>
              <w:top w:type="dxa" w:w="70"/>
              <w:left w:type="dxa" w:w="90"/>
              <w:bottom w:type="dxa" w:w="70"/>
              <w:right w:type="dxa" w:w="90"/>
            </w:tcMar>
          </w:tcPr>
          <w:p>
            <w:pPr>
              <w:spacing w:after="0" w:line="252"/>
              <w:jc w:val="left"/>
            </w:pPr>
            <w:r>
              <w:rPr>
                <w:rFonts w:ascii="Verdana" w:cs="Verdana" w:eastAsia="Verdana" w:hAnsi="Verdana"/>
                <w:b/>
                <w:bCs/>
                <w:color w:val="2B2B2B"/>
                <w:sz w:val="18"/>
                <w:szCs w:val="18"/>
              </w:rPr>
              <w:t xml:space="preserve">Output quality below expectation</w:t>
            </w:r>
          </w:p>
        </w:tc>
        <w:tc>
          <w:tcPr>
            <w:tcW w:type="dxa" w:w="6400"/>
            <w:tcMar>
              <w:top w:type="dxa" w:w="70"/>
              <w:left w:type="dxa" w:w="90"/>
              <w:bottom w:type="dxa" w:w="70"/>
              <w:right w:type="dxa" w:w="90"/>
            </w:tcMar>
          </w:tcPr>
          <w:p>
            <w:pPr>
              <w:spacing w:after="0" w:line="252"/>
              <w:jc w:val="left"/>
            </w:pPr>
            <w:r>
              <w:rPr>
                <w:rFonts w:ascii="Verdana" w:cs="Verdana" w:eastAsia="Verdana" w:hAnsi="Verdana"/>
                <w:b w:val="false"/>
                <w:bCs w:val="false"/>
                <w:color w:val="2B2B2B"/>
                <w:sz w:val="18"/>
                <w:szCs w:val="18"/>
              </w:rPr>
              <w:t xml:space="preserve">Hard identity similarity thresholds, launch only shells above the quality bar, free re-render policy, human QA at 100 percent through launch</w:t>
            </w:r>
          </w:p>
        </w:tc>
      </w:tr>
      <w:tr>
        <w:tc>
          <w:tcPr>
            <w:tcW w:type="dxa" w:w="2600"/>
            <w:tcMar>
              <w:top w:type="dxa" w:w="70"/>
              <w:left w:type="dxa" w:w="90"/>
              <w:bottom w:type="dxa" w:w="70"/>
              <w:right w:type="dxa" w:w="90"/>
            </w:tcMar>
          </w:tcPr>
          <w:p>
            <w:pPr>
              <w:spacing w:after="0" w:line="252"/>
              <w:jc w:val="left"/>
            </w:pPr>
            <w:r>
              <w:rPr>
                <w:rFonts w:ascii="Verdana" w:cs="Verdana" w:eastAsia="Verdana" w:hAnsi="Verdana"/>
                <w:b/>
                <w:bCs/>
                <w:color w:val="2B2B2B"/>
                <w:sz w:val="18"/>
                <w:szCs w:val="18"/>
              </w:rPr>
              <w:t xml:space="preserve">Talent and industry sensitivity</w:t>
            </w:r>
          </w:p>
        </w:tc>
        <w:tc>
          <w:tcPr>
            <w:tcW w:type="dxa" w:w="6400"/>
            <w:tcMar>
              <w:top w:type="dxa" w:w="70"/>
              <w:left w:type="dxa" w:w="90"/>
              <w:bottom w:type="dxa" w:w="70"/>
              <w:right w:type="dxa" w:w="90"/>
            </w:tcMar>
          </w:tcPr>
          <w:p>
            <w:pPr>
              <w:spacing w:after="0" w:line="252"/>
              <w:jc w:val="left"/>
            </w:pPr>
            <w:r>
              <w:rPr>
                <w:rFonts w:ascii="Verdana" w:cs="Verdana" w:eastAsia="Verdana" w:hAnsi="Verdana"/>
                <w:b w:val="false"/>
                <w:bCs w:val="false"/>
                <w:color w:val="2B2B2B"/>
                <w:sz w:val="18"/>
                <w:szCs w:val="18"/>
              </w:rPr>
              <w:t xml:space="preserve">Synthetic leads first, retrofit only with signed likeness substitution consent, Phase 2 built on licensed rights with royalties: position Hungama as the operator that pays talent for the future</w:t>
            </w:r>
          </w:p>
        </w:tc>
      </w:tr>
      <w:tr>
        <w:tc>
          <w:tcPr>
            <w:tcW w:type="dxa" w:w="2600"/>
            <w:tcMar>
              <w:top w:type="dxa" w:w="70"/>
              <w:left w:type="dxa" w:w="90"/>
              <w:bottom w:type="dxa" w:w="70"/>
              <w:right w:type="dxa" w:w="90"/>
            </w:tcMar>
          </w:tcPr>
          <w:p>
            <w:pPr>
              <w:spacing w:after="0" w:line="252"/>
              <w:jc w:val="left"/>
            </w:pPr>
            <w:r>
              <w:rPr>
                <w:rFonts w:ascii="Verdana" w:cs="Verdana" w:eastAsia="Verdana" w:hAnsi="Verdana"/>
                <w:b/>
                <w:bCs/>
                <w:color w:val="2B2B2B"/>
                <w:sz w:val="18"/>
                <w:szCs w:val="18"/>
              </w:rPr>
              <w:t xml:space="preserve">Regulatory movement</w:t>
            </w:r>
          </w:p>
        </w:tc>
        <w:tc>
          <w:tcPr>
            <w:tcW w:type="dxa" w:w="6400"/>
            <w:tcMar>
              <w:top w:type="dxa" w:w="70"/>
              <w:left w:type="dxa" w:w="90"/>
              <w:bottom w:type="dxa" w:w="70"/>
              <w:right w:type="dxa" w:w="90"/>
            </w:tcMar>
          </w:tcPr>
          <w:p>
            <w:pPr>
              <w:spacing w:after="0" w:line="252"/>
              <w:jc w:val="left"/>
            </w:pPr>
            <w:r>
              <w:rPr>
                <w:rFonts w:ascii="Verdana" w:cs="Verdana" w:eastAsia="Verdana" w:hAnsi="Verdana"/>
                <w:b w:val="false"/>
                <w:bCs w:val="false"/>
                <w:color w:val="2B2B2B"/>
                <w:sz w:val="18"/>
                <w:szCs w:val="18"/>
              </w:rPr>
              <w:t xml:space="preserve">India synthetic media labelling rules, DPDP biometric obligations and EU AI Act transparency are all satisfied by the Section 08 architecture; Trilegal to maintain a standing watch</w:t>
            </w:r>
          </w:p>
        </w:tc>
      </w:tr>
      <w:tr>
        <w:tc>
          <w:tcPr>
            <w:tcW w:type="dxa" w:w="2600"/>
            <w:tcMar>
              <w:top w:type="dxa" w:w="70"/>
              <w:left w:type="dxa" w:w="90"/>
              <w:bottom w:type="dxa" w:w="70"/>
              <w:right w:type="dxa" w:w="90"/>
            </w:tcMar>
          </w:tcPr>
          <w:p>
            <w:pPr>
              <w:spacing w:after="0" w:line="252"/>
              <w:jc w:val="left"/>
            </w:pPr>
            <w:r>
              <w:rPr>
                <w:rFonts w:ascii="Verdana" w:cs="Verdana" w:eastAsia="Verdana" w:hAnsi="Verdana"/>
                <w:b/>
                <w:bCs/>
                <w:color w:val="2B2B2B"/>
                <w:sz w:val="18"/>
                <w:szCs w:val="18"/>
              </w:rPr>
              <w:t xml:space="preserve">Render cost overrun</w:t>
            </w:r>
          </w:p>
        </w:tc>
        <w:tc>
          <w:tcPr>
            <w:tcW w:type="dxa" w:w="6400"/>
            <w:tcMar>
              <w:top w:type="dxa" w:w="70"/>
              <w:left w:type="dxa" w:w="90"/>
              <w:bottom w:type="dxa" w:w="70"/>
              <w:right w:type="dxa" w:w="90"/>
            </w:tcMar>
          </w:tcPr>
          <w:p>
            <w:pPr>
              <w:spacing w:after="0" w:line="252"/>
              <w:jc w:val="left"/>
            </w:pPr>
            <w:r>
              <w:rPr>
                <w:rFonts w:ascii="Verdana" w:cs="Verdana" w:eastAsia="Verdana" w:hAnsi="Verdana"/>
                <w:b w:val="false"/>
                <w:bCs w:val="false"/>
                <w:color w:val="2B2B2B"/>
                <w:sz w:val="18"/>
                <w:szCs w:val="18"/>
              </w:rPr>
              <w:t xml:space="preserve">Tier pricing bound to measured cost at Gate 1, cost metering per order, off peak scheduling, shell amortisation</w:t>
            </w:r>
          </w:p>
        </w:tc>
      </w:tr>
      <w:tr>
        <w:tc>
          <w:tcPr>
            <w:tcW w:type="dxa" w:w="2600"/>
            <w:tcMar>
              <w:top w:type="dxa" w:w="70"/>
              <w:left w:type="dxa" w:w="90"/>
              <w:bottom w:type="dxa" w:w="70"/>
              <w:right w:type="dxa" w:w="90"/>
            </w:tcMar>
          </w:tcPr>
          <w:p>
            <w:pPr>
              <w:spacing w:after="0" w:line="252"/>
              <w:jc w:val="left"/>
            </w:pPr>
            <w:r>
              <w:rPr>
                <w:rFonts w:ascii="Verdana" w:cs="Verdana" w:eastAsia="Verdana" w:hAnsi="Verdana"/>
                <w:b/>
                <w:bCs/>
                <w:color w:val="2B2B2B"/>
                <w:sz w:val="18"/>
                <w:szCs w:val="18"/>
              </w:rPr>
              <w:t xml:space="preserve">Platform policy shifts</w:t>
            </w:r>
          </w:p>
        </w:tc>
        <w:tc>
          <w:tcPr>
            <w:tcW w:type="dxa" w:w="6400"/>
            <w:tcMar>
              <w:top w:type="dxa" w:w="70"/>
              <w:left w:type="dxa" w:w="90"/>
              <w:bottom w:type="dxa" w:w="70"/>
              <w:right w:type="dxa" w:w="90"/>
            </w:tcMar>
          </w:tcPr>
          <w:p>
            <w:pPr>
              <w:spacing w:after="0" w:line="252"/>
              <w:jc w:val="left"/>
            </w:pPr>
            <w:r>
              <w:rPr>
                <w:rFonts w:ascii="Verdana" w:cs="Verdana" w:eastAsia="Verdana" w:hAnsi="Verdana"/>
                <w:b w:val="false"/>
                <w:bCs w:val="false"/>
                <w:color w:val="2B2B2B"/>
                <w:sz w:val="18"/>
                <w:szCs w:val="18"/>
              </w:rPr>
              <w:t xml:space="preserve">The existing YouTube and Google AI policy monitoring extends to cover app store synthetic media rules and share surface policies for trailers</w:t>
            </w:r>
          </w:p>
        </w:tc>
      </w:tr>
    </w:tbl>
    <w:p>
      <w:pPr>
        <w:pBdr>
          <w:top w:val="single" w:color="9AA7BC" w:sz="4"/>
        </w:pBdr>
        <w:spacing w:after="160" w:before="340"/>
      </w:pPr>
      <w:r>
        <w:rPr>
          <w:rFonts w:ascii="Verdana" w:cs="Verdana" w:eastAsia="Verdana" w:hAnsi="Verdana"/>
          <w:b/>
          <w:bCs/>
          <w:color w:val="C00000"/>
          <w:sz w:val="17"/>
          <w:szCs w:val="17"/>
        </w:rPr>
        <w:t xml:space="preserve">16</w:t>
      </w:r>
      <w:r>
        <w:rPr>
          <w:rFonts w:ascii="Verdana" w:cs="Verdana" w:eastAsia="Verdana" w:hAnsi="Verdana"/>
          <w:b/>
          <w:bCs/>
          <w:color w:val="1F3864"/>
          <w:sz w:val="24"/>
          <w:szCs w:val="24"/>
        </w:rPr>
        <w:t xml:space="preserve">   EXECUTION: GATES TO DEMO</w:t>
      </w:r>
    </w:p>
    <w:p>
      <w:pPr>
        <w:tabs>
          <w:tab w:val="left" w:pos="360"/>
        </w:tabs>
        <w:spacing w:after="110" w:line="276"/>
        <w:ind w:left="360" w:hanging="360"/>
        <w:jc w:val="both"/>
      </w:pPr>
      <w:r>
        <w:rPr>
          <w:rFonts w:ascii="Verdana" w:cs="Verdana" w:eastAsia="Verdana" w:hAnsi="Verdana"/>
          <w:b/>
          <w:bCs/>
          <w:color w:val="1F3864"/>
          <w:sz w:val="19"/>
          <w:szCs w:val="19"/>
        </w:rPr>
        <w:t xml:space="preserve">1.</w:t>
      </w:r>
      <w:r>
        <w:rPr>
          <w:rFonts w:ascii="Verdana" w:cs="Verdana" w:eastAsia="Verdana" w:hAnsi="Verdana"/>
          <w:color w:val="2B2B2B"/>
          <w:sz w:val="19"/>
          <w:szCs w:val="19"/>
        </w:rPr>
        <w:t xml:space="preserve">	Gate 0, this note. Concept, naming direction and architecture approval.</w:t>
      </w:r>
    </w:p>
    <w:p>
      <w:pPr>
        <w:tabs>
          <w:tab w:val="left" w:pos="360"/>
        </w:tabs>
        <w:spacing w:after="110" w:line="276"/>
        <w:ind w:left="360" w:hanging="360"/>
        <w:jc w:val="both"/>
      </w:pPr>
      <w:r>
        <w:rPr>
          <w:rFonts w:ascii="Verdana" w:cs="Verdana" w:eastAsia="Verdana" w:hAnsi="Verdana"/>
          <w:b/>
          <w:bCs/>
          <w:color w:val="1F3864"/>
          <w:sz w:val="19"/>
          <w:szCs w:val="19"/>
        </w:rPr>
        <w:t xml:space="preserve">2.</w:t>
      </w:r>
      <w:r>
        <w:rPr>
          <w:rFonts w:ascii="Verdana" w:cs="Verdana" w:eastAsia="Verdana" w:hAnsi="Verdana"/>
          <w:color w:val="2B2B2B"/>
          <w:sz w:val="19"/>
          <w:szCs w:val="19"/>
        </w:rPr>
        <w:t xml:space="preserve">	Gate 1, two weeks. One shell, one pipeline, internal demo: a single episode personalised for five internal users. Success criteria: identity similarity above threshold, a blind viewer test where the personalisation delights rather than distracts and a measured cost per render.</w:t>
      </w:r>
    </w:p>
    <w:p>
      <w:pPr>
        <w:tabs>
          <w:tab w:val="left" w:pos="360"/>
        </w:tabs>
        <w:spacing w:after="110" w:line="276"/>
        <w:ind w:left="360" w:hanging="360"/>
        <w:jc w:val="both"/>
      </w:pPr>
      <w:r>
        <w:rPr>
          <w:rFonts w:ascii="Verdana" w:cs="Verdana" w:eastAsia="Verdana" w:hAnsi="Verdana"/>
          <w:b/>
          <w:bCs/>
          <w:color w:val="1F3864"/>
          <w:sz w:val="19"/>
          <w:szCs w:val="19"/>
        </w:rPr>
        <w:t xml:space="preserve">3.</w:t>
      </w:r>
      <w:r>
        <w:rPr>
          <w:rFonts w:ascii="Verdana" w:cs="Verdana" w:eastAsia="Verdana" w:hAnsi="Verdana"/>
          <w:color w:val="2B2B2B"/>
          <w:sz w:val="19"/>
          <w:szCs w:val="19"/>
        </w:rPr>
        <w:t xml:space="preserve">	Gate 2, six weeks. End to end flow in staging: credit store, capture and consent ledger, three shells, QA console, assembly and delivery.</w:t>
      </w:r>
    </w:p>
    <w:p>
      <w:pPr>
        <w:tabs>
          <w:tab w:val="left" w:pos="360"/>
        </w:tabs>
        <w:spacing w:after="110" w:line="276"/>
        <w:ind w:left="360" w:hanging="360"/>
        <w:jc w:val="both"/>
      </w:pPr>
      <w:r>
        <w:rPr>
          <w:rFonts w:ascii="Verdana" w:cs="Verdana" w:eastAsia="Verdana" w:hAnsi="Verdana"/>
          <w:b/>
          <w:bCs/>
          <w:color w:val="1F3864"/>
          <w:sz w:val="19"/>
          <w:szCs w:val="19"/>
        </w:rPr>
        <w:t xml:space="preserve">4.</w:t>
      </w:r>
      <w:r>
        <w:rPr>
          <w:rFonts w:ascii="Verdana" w:cs="Verdana" w:eastAsia="Verdana" w:hAnsi="Verdana"/>
          <w:color w:val="2B2B2B"/>
          <w:sz w:val="19"/>
          <w:szCs w:val="19"/>
        </w:rPr>
        <w:t xml:space="preserve">	Gate 3, twelve weeks. Closed beta with 500 subscribers in one market. SLA adherence, margin validation and share rate read before any public launch.</w:t>
      </w:r>
    </w:p>
    <w:p>
      <w:pPr>
        <w:tabs>
          <w:tab w:val="left" w:pos="360"/>
        </w:tabs>
        <w:spacing w:after="110" w:line="276"/>
        <w:ind w:left="360" w:hanging="360"/>
        <w:jc w:val="both"/>
      </w:pPr>
      <w:r>
        <w:rPr>
          <w:rFonts w:ascii="Verdana" w:cs="Verdana" w:eastAsia="Verdana" w:hAnsi="Verdana"/>
          <w:b/>
          <w:bCs/>
          <w:color w:val="1F3864"/>
          <w:sz w:val="19"/>
          <w:szCs w:val="19"/>
        </w:rPr>
        <w:t xml:space="preserve">5.</w:t>
      </w:r>
      <w:r>
        <w:rPr>
          <w:rFonts w:ascii="Verdana" w:cs="Verdana" w:eastAsia="Verdana" w:hAnsi="Verdana"/>
          <w:color w:val="2B2B2B"/>
          <w:sz w:val="19"/>
          <w:szCs w:val="19"/>
        </w:rPr>
        <w:t xml:space="preserve">	Launch. Slotted into the Fast TV marketing calendar as a headline moment, not a feature release.</w:t>
      </w:r>
    </w:p>
    <w:p>
      <w:pPr>
        <w:spacing w:after="90" w:before="160"/>
      </w:pPr>
      <w:r>
        <w:rPr>
          <w:rFonts w:ascii="Verdana" w:cs="Verdana" w:eastAsia="Verdana" w:hAnsi="Verdana"/>
          <w:b/>
          <w:bCs/>
          <w:color w:val="1F3864"/>
          <w:sz w:val="19"/>
          <w:szCs w:val="19"/>
        </w:rPr>
        <w:t xml:space="preserve">Proposed ownership</w:t>
      </w:r>
    </w:p>
    <w:p>
      <w:pPr>
        <w:spacing w:after="140" w:line="276"/>
        <w:jc w:val="both"/>
      </w:pPr>
      <w:r>
        <w:rPr>
          <w:rFonts w:ascii="Verdana" w:cs="Verdana" w:eastAsia="Verdana" w:hAnsi="Verdana"/>
          <w:color w:val="2B2B2B"/>
          <w:sz w:val="19"/>
          <w:szCs w:val="19"/>
        </w:rPr>
        <w:t xml:space="preserve">Product: Kunal Arora. Engineering and render orchestrator: Dheeraj Goel. Shell production and Personal Dignity review: Sanjeev Lamba with Sonia Parasnis. Legal, consent architecture and trademark: Nitin Goel with Trilegal. International rollout sequencing: Kamal Sharma. Sprint Commander: for Neeraj to name, on the house cadence of 9 AM and 6 PM standups at the ten minute hard cap, with the War Room document as the operational source of truth.</w:t>
      </w:r>
    </w:p>
    <w:p>
      <w:pPr>
        <w:pBdr>
          <w:top w:val="single" w:color="9AA7BC" w:sz="4"/>
        </w:pBdr>
        <w:spacing w:after="160" w:before="340"/>
      </w:pPr>
      <w:r>
        <w:rPr>
          <w:rFonts w:ascii="Verdana" w:cs="Verdana" w:eastAsia="Verdana" w:hAnsi="Verdana"/>
          <w:b/>
          <w:bCs/>
          <w:color w:val="C00000"/>
          <w:sz w:val="17"/>
          <w:szCs w:val="17"/>
        </w:rPr>
        <w:t xml:space="preserve">17</w:t>
      </w:r>
      <w:r>
        <w:rPr>
          <w:rFonts w:ascii="Verdana" w:cs="Verdana" w:eastAsia="Verdana" w:hAnsi="Verdana"/>
          <w:b/>
          <w:bCs/>
          <w:color w:val="1F3864"/>
          <w:sz w:val="24"/>
          <w:szCs w:val="24"/>
        </w:rPr>
        <w:t xml:space="preserve">   IMMEDIATE NEXT STEPS</w:t>
      </w:r>
    </w:p>
    <w:p>
      <w:pPr>
        <w:tabs>
          <w:tab w:val="left" w:pos="360"/>
        </w:tabs>
        <w:spacing w:after="110" w:line="276"/>
        <w:ind w:left="360" w:hanging="360"/>
        <w:jc w:val="both"/>
      </w:pPr>
      <w:r>
        <w:rPr>
          <w:rFonts w:ascii="Verdana" w:cs="Verdana" w:eastAsia="Verdana" w:hAnsi="Verdana"/>
          <w:b/>
          <w:bCs/>
          <w:color w:val="1F3864"/>
          <w:sz w:val="19"/>
          <w:szCs w:val="19"/>
        </w:rPr>
        <w:t xml:space="preserve">1.</w:t>
      </w:r>
      <w:r>
        <w:rPr>
          <w:rFonts w:ascii="Verdana" w:cs="Verdana" w:eastAsia="Verdana" w:hAnsi="Verdana"/>
          <w:color w:val="2B2B2B"/>
          <w:sz w:val="19"/>
          <w:szCs w:val="19"/>
        </w:rPr>
        <w:t xml:space="preserve">	Approve the naming shortlist and commission the trademark search on StarME through Trilegal.</w:t>
      </w:r>
    </w:p>
    <w:p>
      <w:pPr>
        <w:tabs>
          <w:tab w:val="left" w:pos="360"/>
        </w:tabs>
        <w:spacing w:after="110" w:line="276"/>
        <w:ind w:left="360" w:hanging="360"/>
        <w:jc w:val="both"/>
      </w:pPr>
      <w:r>
        <w:rPr>
          <w:rFonts w:ascii="Verdana" w:cs="Verdana" w:eastAsia="Verdana" w:hAnsi="Verdana"/>
          <w:b/>
          <w:bCs/>
          <w:color w:val="1F3864"/>
          <w:sz w:val="19"/>
          <w:szCs w:val="19"/>
        </w:rPr>
        <w:t xml:space="preserve">2.</w:t>
      </w:r>
      <w:r>
        <w:rPr>
          <w:rFonts w:ascii="Verdana" w:cs="Verdana" w:eastAsia="Verdana" w:hAnsi="Verdana"/>
          <w:color w:val="2B2B2B"/>
          <w:sz w:val="19"/>
          <w:szCs w:val="19"/>
        </w:rPr>
        <w:t xml:space="preserve">	Select the first two shell concepts for Gate 1. Recommendation: Love Story and Action Drama, per the validated India emotional hook rankings.</w:t>
      </w:r>
    </w:p>
    <w:p>
      <w:pPr>
        <w:tabs>
          <w:tab w:val="left" w:pos="360"/>
        </w:tabs>
        <w:spacing w:after="110" w:line="276"/>
        <w:ind w:left="360" w:hanging="360"/>
        <w:jc w:val="both"/>
      </w:pPr>
      <w:r>
        <w:rPr>
          <w:rFonts w:ascii="Verdana" w:cs="Verdana" w:eastAsia="Verdana" w:hAnsi="Verdana"/>
          <w:b/>
          <w:bCs/>
          <w:color w:val="1F3864"/>
          <w:sz w:val="19"/>
          <w:szCs w:val="19"/>
        </w:rPr>
        <w:t xml:space="preserve">3.</w:t>
      </w:r>
      <w:r>
        <w:rPr>
          <w:rFonts w:ascii="Verdana" w:cs="Verdana" w:eastAsia="Verdana" w:hAnsi="Verdana"/>
          <w:color w:val="2B2B2B"/>
          <w:sz w:val="19"/>
          <w:szCs w:val="19"/>
        </w:rPr>
        <w:t xml:space="preserve">	Kunal and Dheeraj to size the render orchestrator build and confirm the Seedance video to video character transfer path with the BytePlus engineering team.</w:t>
      </w:r>
    </w:p>
    <w:p>
      <w:pPr>
        <w:tabs>
          <w:tab w:val="left" w:pos="360"/>
        </w:tabs>
        <w:spacing w:after="110" w:line="276"/>
        <w:ind w:left="360" w:hanging="360"/>
        <w:jc w:val="both"/>
      </w:pPr>
      <w:r>
        <w:rPr>
          <w:rFonts w:ascii="Verdana" w:cs="Verdana" w:eastAsia="Verdana" w:hAnsi="Verdana"/>
          <w:b/>
          <w:bCs/>
          <w:color w:val="1F3864"/>
          <w:sz w:val="19"/>
          <w:szCs w:val="19"/>
        </w:rPr>
        <w:t xml:space="preserve">4.</w:t>
      </w:r>
      <w:r>
        <w:rPr>
          <w:rFonts w:ascii="Verdana" w:cs="Verdana" w:eastAsia="Verdana" w:hAnsi="Verdana"/>
          <w:color w:val="2B2B2B"/>
          <w:sz w:val="19"/>
          <w:szCs w:val="19"/>
        </w:rPr>
        <w:t xml:space="preserve">	Place StarME on the ByteDance and Seedance anchor meeting agenda for the China trip of 31 July to 5 August, alongside a watching brief on how ReelShort and Kling adjacent players are approaching personalisation.</w:t>
      </w:r>
    </w:p>
    <w:p>
      <w:pPr>
        <w:tabs>
          <w:tab w:val="left" w:pos="360"/>
        </w:tabs>
        <w:spacing w:after="110" w:line="276"/>
        <w:ind w:left="360" w:hanging="360"/>
        <w:jc w:val="both"/>
      </w:pPr>
      <w:r>
        <w:rPr>
          <w:rFonts w:ascii="Verdana" w:cs="Verdana" w:eastAsia="Verdana" w:hAnsi="Verdana"/>
          <w:b/>
          <w:bCs/>
          <w:color w:val="1F3864"/>
          <w:sz w:val="19"/>
          <w:szCs w:val="19"/>
        </w:rPr>
        <w:t xml:space="preserve">5.</w:t>
      </w:r>
      <w:r>
        <w:rPr>
          <w:rFonts w:ascii="Verdana" w:cs="Verdana" w:eastAsia="Verdana" w:hAnsi="Verdana"/>
          <w:color w:val="2B2B2B"/>
          <w:sz w:val="19"/>
          <w:szCs w:val="19"/>
        </w:rPr>
        <w:t xml:space="preserve">	Legal memo on likeness consent, biometric handling under the DPDP Act and the Phase 2 talent licensing template.</w:t>
      </w:r>
    </w:p>
    <w:p>
      <w:pPr>
        <w:tabs>
          <w:tab w:val="left" w:pos="360"/>
        </w:tabs>
        <w:spacing w:after="110" w:line="276"/>
        <w:ind w:left="360" w:hanging="360"/>
        <w:jc w:val="both"/>
      </w:pPr>
      <w:r>
        <w:rPr>
          <w:rFonts w:ascii="Verdana" w:cs="Verdana" w:eastAsia="Verdana" w:hAnsi="Verdana"/>
          <w:b/>
          <w:bCs/>
          <w:color w:val="1F3864"/>
          <w:sz w:val="19"/>
          <w:szCs w:val="19"/>
        </w:rPr>
        <w:t xml:space="preserve">6.</w:t>
      </w:r>
      <w:r>
        <w:rPr>
          <w:rFonts w:ascii="Verdana" w:cs="Verdana" w:eastAsia="Verdana" w:hAnsi="Verdana"/>
          <w:color w:val="2B2B2B"/>
          <w:sz w:val="19"/>
          <w:szCs w:val="19"/>
        </w:rPr>
        <w:t xml:space="preserve">	Demo build: a working prototype of the capture flow, store and premiere screen plus a personalisation storyboard, as the next deliverable in this thread.</w:t>
      </w:r>
    </w:p>
    <w:p>
      <w:pPr>
        <w:spacing w:after="140"/>
      </w:pPr>
    </w:p>
    <w:p>
      <w:pPr>
        <w:pBdr>
          <w:top w:val="single" w:color="9AA7BC" w:sz="4"/>
        </w:pBdr>
        <w:spacing w:before="100"/>
      </w:pPr>
      <w:r>
        <w:rPr>
          <w:rFonts w:ascii="Verdana" w:cs="Verdana" w:eastAsia="Verdana" w:hAnsi="Verdana"/>
          <w:i/>
          <w:iCs/>
          <w:color w:val="6B6B6B"/>
          <w:sz w:val="16"/>
          <w:szCs w:val="16"/>
        </w:rPr>
        <w:t xml:space="preserve">End of note  ·  Draft 1.0</w:t>
      </w:r>
    </w:p>
    <w:sectPr>
      <w:footerReference w:type="default" r:id="rId7"/>
      <w:pgSz w:w="11906" w:h="16838" w:orient="portrait"/>
      <w:pgMar w:top="1100" w:right="1250" w:bottom="1100" w:left="12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8CDD6" w:sz="3"/>
      </w:pBdr>
      <w:tabs>
        <w:tab w:val="right" w:pos="9400"/>
      </w:tabs>
      <w:spacing w:before="60"/>
    </w:pPr>
    <w:r>
      <w:rPr>
        <w:rFonts w:ascii="Verdana" w:cs="Verdana" w:eastAsia="Verdana" w:hAnsi="Verdana"/>
        <w:color w:val="6B6B6B"/>
        <w:sz w:val="14"/>
        <w:szCs w:val="14"/>
      </w:rPr>
      <w:t xml:space="preserve">Hungama Digital Media Entertainment · Strictly Confidential</w:t>
    </w:r>
    <w:r>
      <w:rPr>
        <w:rFonts w:ascii="Verdana" w:cs="Verdana" w:eastAsia="Verdana" w:hAnsi="Verdana"/>
        <w:sz w:val="14"/>
        <w:szCs w:val="14"/>
      </w:rPr>
      <w:t xml:space="preserve">	</w:t>
    </w:r>
    <w:r>
      <w:rPr>
        <w:rFonts w:ascii="Verdana" w:cs="Verdana" w:eastAsia="Verdana" w:hAnsi="Verdana"/>
        <w:color w:val="6B6B6B"/>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Verdana" w:cs="Verdana" w:eastAsia="Verdana" w:hAnsi="Verdana"/>
        <w:color w:val="2B2B2B"/>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f45e8768fbd06ee7f7e57b0d72a1ed271fd2bf49.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2026-07-24T12:47:04.654Z</dcterms:created>
  <dcterms:modified xsi:type="dcterms:W3CDTF">2026-07-24T12:47:04.668Z</dcterms:modified>
</cp:coreProperties>
</file>

<file path=docProps/custom.xml><?xml version="1.0" encoding="utf-8"?>
<Properties xmlns="http://schemas.openxmlformats.org/officeDocument/2006/custom-properties" xmlns:vt="http://schemas.openxmlformats.org/officeDocument/2006/docPropsVTypes"/>
</file>