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tier letter detection + secondary roll-count preservation fixes on OCR output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now catches the tier when OCR glues the letter onto the first secondary line (e.g. “C (2) 4.12% Protection”) via a new ^([A-E])\s+\(\d+\) pattern, in addition to “LVL 15 · C” / “15 - A” badge patterns. Second fix: extractSecondaries() was dropping the (n) roll counts because valueFirstPattern dedup-won over rollFirstPattern; now prefers the entry that carries an explicit rolls field so Protection% (2), Offense% (2), Speed (1), Defense (1) survive end-to-end. Verified on R5CX10W4LJY scan (ocr-debug-last.txt: 5C Cross).</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2026-04-21T22:38:26.760Z</dcterms:created>
  <dcterms:modified xsi:type="dcterms:W3CDTF">2026-04-21T22:38:26.761Z</dcterms:modified>
</cp:coreProperties>
</file>

<file path=docProps/custom.xml><?xml version="1.0" encoding="utf-8"?>
<Properties xmlns="http://schemas.openxmlformats.org/officeDocument/2006/custom-properties" xmlns:vt="http://schemas.openxmlformats.org/officeDocument/2006/docPropsVTypes"/>
</file>