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1750BC">
      <w:pPr>
        <w:rPr>
          <w:rFonts w:ascii="仿宋_GB2312" w:eastAsia="仿宋_GB2312"/>
          <w:b/>
          <w:bCs/>
          <w:sz w:val="72"/>
          <w:szCs w:val="72"/>
        </w:rPr>
      </w:pPr>
      <w:r>
        <w:rPr>
          <w:rFonts w:hint="eastAsia" w:ascii="仿宋_GB2312" w:eastAsia="仿宋_GB2312" w:cs="仿宋_GB2312"/>
          <w:b/>
          <w:bCs/>
          <w:sz w:val="28"/>
          <w:szCs w:val="28"/>
        </w:rPr>
        <w:t>课程编号：</w:t>
      </w:r>
    </w:p>
    <w:p w14:paraId="7D6D5C7C">
      <w:pPr>
        <w:jc w:val="center"/>
        <w:rPr>
          <w:rFonts w:hint="eastAsia" w:ascii="仿宋_GB2312" w:eastAsia="仿宋_GB2312" w:cs="仿宋_GB2312"/>
          <w:b/>
          <w:bCs/>
          <w:sz w:val="72"/>
          <w:szCs w:val="72"/>
        </w:rPr>
      </w:pPr>
    </w:p>
    <w:p w14:paraId="7DF653E0">
      <w:pPr>
        <w:jc w:val="center"/>
        <w:rPr>
          <w:rFonts w:hint="eastAsia" w:ascii="仿宋_GB2312" w:eastAsia="仿宋_GB2312" w:cs="仿宋_GB2312"/>
          <w:b/>
          <w:bCs/>
          <w:sz w:val="72"/>
          <w:szCs w:val="72"/>
        </w:rPr>
      </w:pPr>
    </w:p>
    <w:p w14:paraId="0F811DC8">
      <w:pPr>
        <w:jc w:val="center"/>
        <w:rPr>
          <w:rFonts w:hint="default" w:ascii="仿宋_GB2312" w:eastAsia="仿宋_GB2312"/>
          <w:b/>
          <w:bCs/>
          <w:sz w:val="72"/>
          <w:szCs w:val="72"/>
          <w:lang w:val="en-US" w:eastAsia="zh-CN"/>
        </w:rPr>
      </w:pPr>
      <w:r>
        <w:rPr>
          <w:rFonts w:hint="eastAsia" w:ascii="仿宋_GB2312" w:eastAsia="仿宋_GB2312" w:cs="仿宋_GB2312"/>
          <w:b/>
          <w:bCs/>
          <w:sz w:val="72"/>
          <w:szCs w:val="72"/>
          <w:lang w:eastAsia="zh-CN"/>
        </w:rPr>
        <w:t>《</w:t>
      </w:r>
      <w:r>
        <w:rPr>
          <w:rFonts w:hint="eastAsia" w:ascii="仿宋_GB2312" w:eastAsia="仿宋_GB2312" w:cs="仿宋_GB2312"/>
          <w:b/>
          <w:bCs/>
          <w:sz w:val="72"/>
          <w:szCs w:val="72"/>
        </w:rPr>
        <w:t>开源</w:t>
      </w:r>
      <w:r>
        <w:rPr>
          <w:rFonts w:hint="eastAsia" w:ascii="仿宋_GB2312" w:eastAsia="仿宋_GB2312" w:cs="仿宋_GB2312"/>
          <w:b/>
          <w:bCs/>
          <w:sz w:val="72"/>
          <w:szCs w:val="72"/>
          <w:lang w:val="en-US" w:eastAsia="zh-CN"/>
        </w:rPr>
        <w:t>创新思维》</w:t>
      </w:r>
    </w:p>
    <w:p w14:paraId="67604145">
      <w:pPr>
        <w:jc w:val="center"/>
        <w:rPr>
          <w:rFonts w:ascii="仿宋_GB2312" w:eastAsia="仿宋_GB2312"/>
          <w:b/>
          <w:bCs/>
          <w:sz w:val="72"/>
          <w:szCs w:val="72"/>
        </w:rPr>
      </w:pPr>
      <w:r>
        <w:rPr>
          <w:rFonts w:hint="eastAsia" w:ascii="仿宋_GB2312" w:eastAsia="仿宋_GB2312" w:cs="仿宋_GB2312"/>
          <w:b/>
          <w:bCs/>
          <w:sz w:val="72"/>
          <w:szCs w:val="72"/>
        </w:rPr>
        <w:t>平时作业报告</w:t>
      </w:r>
    </w:p>
    <w:p w14:paraId="72B4D612">
      <w:pPr>
        <w:jc w:val="center"/>
        <w:rPr>
          <w:rFonts w:ascii="仿宋_GB2312" w:eastAsia="仿宋_GB2312"/>
          <w:b/>
          <w:bCs/>
          <w:sz w:val="52"/>
          <w:szCs w:val="52"/>
        </w:rPr>
      </w:pPr>
    </w:p>
    <w:p w14:paraId="1E8560DC">
      <w:pPr>
        <w:jc w:val="center"/>
        <w:rPr>
          <w:rFonts w:ascii="宋体"/>
          <w:sz w:val="28"/>
          <w:szCs w:val="28"/>
        </w:rPr>
      </w:pPr>
    </w:p>
    <w:p w14:paraId="1E615644">
      <w:pPr>
        <w:jc w:val="center"/>
        <w:rPr>
          <w:rFonts w:ascii="宋体"/>
          <w:sz w:val="28"/>
          <w:szCs w:val="28"/>
        </w:rPr>
      </w:pPr>
    </w:p>
    <w:p w14:paraId="27E03F4E">
      <w:pPr>
        <w:jc w:val="center"/>
        <w:rPr>
          <w:rFonts w:ascii="宋体"/>
          <w:sz w:val="28"/>
          <w:szCs w:val="28"/>
        </w:rPr>
      </w:pPr>
    </w:p>
    <w:p w14:paraId="0CE85110">
      <w:pPr>
        <w:jc w:val="center"/>
        <w:rPr>
          <w:rFonts w:ascii="宋体"/>
          <w:sz w:val="28"/>
          <w:szCs w:val="28"/>
        </w:rPr>
      </w:pPr>
    </w:p>
    <w:p w14:paraId="1C97CF4E">
      <w:pPr>
        <w:jc w:val="center"/>
        <w:rPr>
          <w:rFonts w:ascii="宋体"/>
          <w:sz w:val="28"/>
          <w:szCs w:val="28"/>
        </w:rPr>
      </w:pPr>
    </w:p>
    <w:p w14:paraId="7DE1962F">
      <w:pPr>
        <w:rPr>
          <w:rFonts w:ascii="仿宋_GB2312" w:eastAsia="仿宋_GB2312"/>
        </w:rPr>
      </w:pPr>
    </w:p>
    <w:p w14:paraId="08818189">
      <w:pPr>
        <w:rPr>
          <w:rFonts w:ascii="仿宋_GB2312" w:eastAsia="仿宋_GB2312"/>
        </w:rPr>
      </w:pPr>
    </w:p>
    <w:p w14:paraId="6B531FE3">
      <w:pPr>
        <w:rPr>
          <w:rFonts w:ascii="仿宋_GB2312" w:eastAsia="仿宋_GB2312"/>
        </w:rPr>
      </w:pPr>
    </w:p>
    <w:p w14:paraId="6EFB2D5D">
      <w:pPr>
        <w:rPr>
          <w:rFonts w:ascii="仿宋_GB2312" w:eastAsia="仿宋_GB2312"/>
        </w:rPr>
      </w:pPr>
    </w:p>
    <w:tbl>
      <w:tblPr>
        <w:tblStyle w:val="6"/>
        <w:tblW w:w="79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1"/>
        <w:gridCol w:w="1594"/>
        <w:gridCol w:w="56"/>
        <w:gridCol w:w="2145"/>
        <w:gridCol w:w="2183"/>
      </w:tblGrid>
      <w:tr w14:paraId="04EF7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35084A30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姓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名</w:t>
            </w:r>
          </w:p>
        </w:tc>
        <w:tc>
          <w:tcPr>
            <w:tcW w:w="1594" w:type="dxa"/>
            <w:vAlign w:val="center"/>
          </w:tcPr>
          <w:p w14:paraId="1A12E197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李君豪</w:t>
            </w:r>
          </w:p>
        </w:tc>
        <w:tc>
          <w:tcPr>
            <w:tcW w:w="2201" w:type="dxa"/>
            <w:gridSpan w:val="2"/>
            <w:vAlign w:val="center"/>
          </w:tcPr>
          <w:p w14:paraId="616522A3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30"/>
                <w:kern w:val="0"/>
                <w:sz w:val="24"/>
                <w:szCs w:val="24"/>
              </w:rPr>
              <w:t>学</w:t>
            </w:r>
            <w:r>
              <w:rPr>
                <w:rFonts w:ascii="仿宋" w:hAnsi="仿宋" w:eastAsia="仿宋" w:cs="仿宋"/>
                <w:b/>
                <w:bCs/>
                <w:spacing w:val="30"/>
                <w:kern w:val="0"/>
                <w:sz w:val="24"/>
                <w:szCs w:val="24"/>
              </w:rPr>
              <w:t xml:space="preserve">       </w:t>
            </w:r>
            <w:r>
              <w:rPr>
                <w:rFonts w:hint="eastAsia" w:ascii="仿宋" w:hAnsi="仿宋" w:eastAsia="仿宋" w:cs="仿宋"/>
                <w:b/>
                <w:bCs/>
                <w:spacing w:val="45"/>
                <w:kern w:val="0"/>
                <w:sz w:val="24"/>
                <w:szCs w:val="24"/>
              </w:rPr>
              <w:t>号</w:t>
            </w:r>
          </w:p>
        </w:tc>
        <w:tc>
          <w:tcPr>
            <w:tcW w:w="2183" w:type="dxa"/>
            <w:vAlign w:val="center"/>
          </w:tcPr>
          <w:p w14:paraId="7FEEBDA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F25011424</w:t>
            </w:r>
          </w:p>
        </w:tc>
      </w:tr>
      <w:tr w14:paraId="66C5B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719C5919">
            <w:pPr>
              <w:wordWrap w:val="0"/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班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级</w:t>
            </w:r>
          </w:p>
        </w:tc>
        <w:tc>
          <w:tcPr>
            <w:tcW w:w="1594" w:type="dxa"/>
            <w:vAlign w:val="center"/>
          </w:tcPr>
          <w:p w14:paraId="1612FE5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F250117</w:t>
            </w:r>
          </w:p>
        </w:tc>
        <w:tc>
          <w:tcPr>
            <w:tcW w:w="2201" w:type="dxa"/>
            <w:gridSpan w:val="2"/>
            <w:vAlign w:val="center"/>
          </w:tcPr>
          <w:p w14:paraId="71B3CC3B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指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导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教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1"/>
                <w:kern w:val="0"/>
                <w:sz w:val="24"/>
                <w:szCs w:val="24"/>
              </w:rPr>
              <w:t>师</w:t>
            </w:r>
          </w:p>
        </w:tc>
        <w:tc>
          <w:tcPr>
            <w:tcW w:w="2183" w:type="dxa"/>
            <w:vAlign w:val="center"/>
          </w:tcPr>
          <w:p w14:paraId="19AEECF8">
            <w:pPr>
              <w:jc w:val="center"/>
              <w:rPr>
                <w:rFonts w:hint="eastAsia" w:ascii="仿宋" w:hAnsi="仿宋" w:eastAsia="仿宋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祝欣蓉</w:t>
            </w:r>
          </w:p>
        </w:tc>
      </w:tr>
      <w:tr w14:paraId="42BD8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961" w:type="dxa"/>
            <w:vAlign w:val="center"/>
          </w:tcPr>
          <w:p w14:paraId="49391E54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开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设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学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期</w:t>
            </w:r>
          </w:p>
        </w:tc>
        <w:tc>
          <w:tcPr>
            <w:tcW w:w="5978" w:type="dxa"/>
            <w:gridSpan w:val="4"/>
            <w:vAlign w:val="center"/>
          </w:tcPr>
          <w:p w14:paraId="2F4D478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20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  <w:lang w:val="en-US" w:eastAsia="zh-CN"/>
              </w:rPr>
              <w:t>26</w:t>
            </w:r>
            <w:r>
              <w:rPr>
                <w:rFonts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-20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  <w:lang w:val="en-US" w:eastAsia="zh-CN"/>
              </w:rPr>
              <w:t>27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秋季学</w:t>
            </w:r>
            <w:r>
              <w:rPr>
                <w:rFonts w:hint="eastAsia" w:ascii="仿宋" w:hAnsi="仿宋" w:eastAsia="仿宋" w:cs="仿宋"/>
                <w:b/>
                <w:bCs/>
                <w:spacing w:val="0"/>
                <w:kern w:val="0"/>
                <w:sz w:val="24"/>
                <w:szCs w:val="24"/>
                <w:fitText w:val="2892" w:id="1715366501"/>
              </w:rPr>
              <w:t>期</w:t>
            </w:r>
          </w:p>
        </w:tc>
      </w:tr>
      <w:tr w14:paraId="3CAFD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7CBDA2F8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开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设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时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间</w:t>
            </w:r>
          </w:p>
        </w:tc>
        <w:tc>
          <w:tcPr>
            <w:tcW w:w="5978" w:type="dxa"/>
            <w:gridSpan w:val="4"/>
            <w:vAlign w:val="center"/>
          </w:tcPr>
          <w:p w14:paraId="1221FB3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第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  <w:lang w:val="en-US" w:eastAsia="zh-CN"/>
              </w:rPr>
              <w:t>1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周</w:t>
            </w:r>
            <w:r>
              <w:rPr>
                <w:rFonts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——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第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  <w:lang w:val="en-US" w:eastAsia="zh-CN"/>
              </w:rPr>
              <w:t>16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b/>
                <w:bCs/>
                <w:spacing w:val="3"/>
                <w:kern w:val="0"/>
                <w:sz w:val="24"/>
                <w:szCs w:val="24"/>
                <w:fitText w:val="2892" w:id="1"/>
              </w:rPr>
              <w:t>周</w:t>
            </w:r>
          </w:p>
        </w:tc>
      </w:tr>
      <w:tr w14:paraId="51E73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961" w:type="dxa"/>
            <w:vAlign w:val="center"/>
          </w:tcPr>
          <w:p w14:paraId="4127BB84">
            <w:pPr>
              <w:wordWrap w:val="0"/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报告日期</w:t>
            </w:r>
          </w:p>
        </w:tc>
        <w:tc>
          <w:tcPr>
            <w:tcW w:w="5978" w:type="dxa"/>
            <w:gridSpan w:val="4"/>
            <w:vAlign w:val="center"/>
          </w:tcPr>
          <w:p w14:paraId="2C519C5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2026年10月29日</w:t>
            </w:r>
          </w:p>
        </w:tc>
      </w:tr>
      <w:tr w14:paraId="4D61B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2" w:hRule="atLeast"/>
          <w:jc w:val="center"/>
        </w:trPr>
        <w:tc>
          <w:tcPr>
            <w:tcW w:w="1961" w:type="dxa"/>
            <w:vMerge w:val="restart"/>
            <w:vAlign w:val="center"/>
          </w:tcPr>
          <w:p w14:paraId="2E95CE6D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评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定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成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绩</w:t>
            </w:r>
          </w:p>
        </w:tc>
        <w:tc>
          <w:tcPr>
            <w:tcW w:w="1650" w:type="dxa"/>
            <w:gridSpan w:val="2"/>
            <w:vMerge w:val="restart"/>
            <w:vAlign w:val="center"/>
          </w:tcPr>
          <w:p w14:paraId="441CE6CB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2145" w:type="dxa"/>
            <w:vAlign w:val="center"/>
          </w:tcPr>
          <w:p w14:paraId="23CEC041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302"/>
                <w:kern w:val="0"/>
                <w:sz w:val="24"/>
                <w:szCs w:val="24"/>
                <w:fitText w:val="1928" w:id="2"/>
              </w:rPr>
              <w:t>评定</w:t>
            </w:r>
            <w:r>
              <w:rPr>
                <w:rFonts w:hint="eastAsia" w:ascii="仿宋" w:hAnsi="仿宋" w:eastAsia="仿宋" w:cs="仿宋"/>
                <w:b/>
                <w:bCs/>
                <w:spacing w:val="0"/>
                <w:kern w:val="0"/>
                <w:sz w:val="24"/>
                <w:szCs w:val="24"/>
                <w:fitText w:val="1928" w:id="2"/>
              </w:rPr>
              <w:t>人</w:t>
            </w:r>
          </w:p>
        </w:tc>
        <w:tc>
          <w:tcPr>
            <w:tcW w:w="2183" w:type="dxa"/>
            <w:vAlign w:val="center"/>
          </w:tcPr>
          <w:p w14:paraId="4DB25488">
            <w:pPr>
              <w:jc w:val="center"/>
              <w:rPr>
                <w:rFonts w:hint="eastAsia" w:ascii="仿宋" w:hAnsi="仿宋" w:eastAsia="仿宋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祝欣蓉</w:t>
            </w:r>
          </w:p>
        </w:tc>
      </w:tr>
      <w:tr w14:paraId="48668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2" w:hRule="atLeast"/>
          <w:jc w:val="center"/>
        </w:trPr>
        <w:tc>
          <w:tcPr>
            <w:tcW w:w="1961" w:type="dxa"/>
            <w:vMerge w:val="continue"/>
            <w:vAlign w:val="center"/>
          </w:tcPr>
          <w:p w14:paraId="383DB938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1650" w:type="dxa"/>
            <w:gridSpan w:val="2"/>
            <w:vMerge w:val="continue"/>
            <w:vAlign w:val="center"/>
          </w:tcPr>
          <w:p w14:paraId="32F758F6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2145" w:type="dxa"/>
            <w:vAlign w:val="center"/>
          </w:tcPr>
          <w:p w14:paraId="561C9102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评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定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日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4"/>
                <w:kern w:val="0"/>
                <w:sz w:val="24"/>
                <w:szCs w:val="24"/>
                <w:fitText w:val="1928" w:id="3"/>
              </w:rPr>
              <w:t>期</w:t>
            </w:r>
          </w:p>
        </w:tc>
        <w:tc>
          <w:tcPr>
            <w:tcW w:w="2183" w:type="dxa"/>
            <w:vAlign w:val="center"/>
          </w:tcPr>
          <w:p w14:paraId="20F3EA0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</w:tr>
    </w:tbl>
    <w:p w14:paraId="212ACDEC">
      <w:pPr>
        <w:widowControl/>
        <w:jc w:val="center"/>
        <w:rPr>
          <w:rFonts w:ascii="仿宋_GB2312" w:hAnsi="宋体" w:eastAsia="仿宋_GB2312"/>
          <w:b/>
          <w:bCs/>
          <w:sz w:val="28"/>
          <w:szCs w:val="28"/>
        </w:rPr>
      </w:pPr>
    </w:p>
    <w:p w14:paraId="389FC1C7">
      <w:pPr>
        <w:widowControl/>
        <w:jc w:val="center"/>
        <w:rPr>
          <w:rFonts w:ascii="仿宋_GB2312" w:hAnsi="宋体" w:eastAsia="仿宋_GB2312"/>
          <w:b/>
          <w:bCs/>
          <w:sz w:val="24"/>
          <w:szCs w:val="24"/>
        </w:rPr>
      </w:pPr>
      <w:r>
        <w:rPr>
          <w:rFonts w:hint="eastAsia" w:ascii="仿宋_GB2312" w:hAnsi="宋体" w:eastAsia="仿宋_GB2312" w:cs="仿宋_GB2312"/>
          <w:b/>
          <w:bCs/>
          <w:sz w:val="28"/>
          <w:szCs w:val="28"/>
          <w:lang w:val="en-US" w:eastAsia="zh-CN"/>
        </w:rPr>
        <w:t>上海杉达学院</w:t>
      </w:r>
      <w:r>
        <w:rPr>
          <w:rFonts w:ascii="仿宋_GB2312" w:hAnsi="宋体" w:eastAsia="仿宋_GB2312"/>
          <w:sz w:val="32"/>
          <w:szCs w:val="32"/>
        </w:rPr>
        <w:br w:type="page"/>
      </w:r>
      <w:r>
        <w:rPr>
          <w:rFonts w:ascii="仿宋_GB2312" w:hAnsi="宋体" w:eastAsia="仿宋_GB2312" w:cs="仿宋_GB2312"/>
          <w:b/>
          <w:bCs/>
          <w:sz w:val="24"/>
          <w:szCs w:val="24"/>
        </w:rPr>
        <w:t>1</w:t>
      </w:r>
    </w:p>
    <w:tbl>
      <w:tblPr>
        <w:tblStyle w:val="6"/>
        <w:tblW w:w="8522" w:type="dxa"/>
        <w:tblInd w:w="-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79"/>
        <w:gridCol w:w="1043"/>
      </w:tblGrid>
      <w:tr w14:paraId="67206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306EF4F9">
            <w:pPr>
              <w:spacing w:line="300" w:lineRule="auto"/>
              <w:jc w:val="center"/>
              <w:rPr>
                <w:rFonts w:ascii="仿宋" w:hAnsi="仿宋" w:eastAsia="仿宋"/>
                <w:b/>
                <w:bCs/>
                <w:kern w:val="0"/>
              </w:rPr>
            </w:pPr>
            <w:r>
              <w:rPr>
                <w:rFonts w:hint="eastAsia" w:ascii="仿宋" w:hAnsi="仿宋" w:eastAsia="仿宋" w:cs="仿宋"/>
                <w:b/>
                <w:bCs/>
                <w:kern w:val="0"/>
              </w:rPr>
              <w:t>考核标准</w:t>
            </w:r>
          </w:p>
        </w:tc>
        <w:tc>
          <w:tcPr>
            <w:tcW w:w="1043" w:type="dxa"/>
          </w:tcPr>
          <w:p w14:paraId="2BB8AF0D">
            <w:pPr>
              <w:widowControl/>
              <w:jc w:val="center"/>
              <w:rPr>
                <w:rFonts w:ascii="仿宋" w:hAnsi="仿宋" w:eastAsia="仿宋"/>
                <w:b/>
                <w:bCs/>
                <w:kern w:val="0"/>
              </w:rPr>
            </w:pPr>
            <w:r>
              <w:rPr>
                <w:rFonts w:hint="eastAsia" w:ascii="仿宋" w:hAnsi="仿宋" w:eastAsia="仿宋" w:cs="仿宋"/>
                <w:b/>
                <w:bCs/>
                <w:kern w:val="0"/>
              </w:rPr>
              <w:t>得分</w:t>
            </w:r>
          </w:p>
        </w:tc>
      </w:tr>
      <w:tr w14:paraId="70B67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603E2623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1</w:t>
            </w:r>
            <w:r>
              <w:rPr>
                <w:rFonts w:hint="eastAsia" w:ascii="仿宋" w:hAnsi="仿宋" w:eastAsia="仿宋" w:cs="仿宋"/>
                <w:kern w:val="0"/>
              </w:rPr>
              <w:t>）报告格式规范、语言通顺（</w:t>
            </w:r>
            <w:r>
              <w:rPr>
                <w:rFonts w:ascii="仿宋" w:hAnsi="仿宋" w:eastAsia="仿宋" w:cs="仿宋"/>
                <w:kern w:val="0"/>
              </w:rPr>
              <w:t>10%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4B49FE88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053CC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2407C561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2</w:t>
            </w:r>
            <w:r>
              <w:rPr>
                <w:rFonts w:hint="eastAsia" w:ascii="仿宋" w:hAnsi="仿宋" w:eastAsia="仿宋" w:cs="仿宋"/>
                <w:kern w:val="0"/>
              </w:rPr>
              <w:t>）质量标准分析合理（1</w:t>
            </w:r>
            <w:r>
              <w:rPr>
                <w:rFonts w:ascii="仿宋" w:hAnsi="仿宋" w:eastAsia="仿宋" w:cs="仿宋"/>
                <w:kern w:val="0"/>
              </w:rPr>
              <w:t>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592BED55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345EE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06B4BA6C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3</w:t>
            </w:r>
            <w:r>
              <w:rPr>
                <w:rFonts w:hint="eastAsia" w:ascii="仿宋" w:hAnsi="仿宋" w:eastAsia="仿宋" w:cs="仿宋"/>
                <w:kern w:val="0"/>
              </w:rPr>
              <w:t>）测试方法分析全面、合理（</w:t>
            </w:r>
            <w:r>
              <w:rPr>
                <w:rFonts w:ascii="仿宋" w:hAnsi="仿宋" w:eastAsia="仿宋" w:cs="仿宋"/>
                <w:kern w:val="0"/>
              </w:rPr>
              <w:t>20%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5E606DBE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155A9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37F015F1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4</w:t>
            </w:r>
            <w:r>
              <w:rPr>
                <w:rFonts w:hint="eastAsia" w:ascii="仿宋" w:hAnsi="仿宋" w:eastAsia="仿宋" w:cs="仿宋"/>
                <w:kern w:val="0"/>
              </w:rPr>
              <w:t>）测试风险分析全面、合理（</w:t>
            </w:r>
            <w:r>
              <w:rPr>
                <w:rFonts w:ascii="仿宋" w:hAnsi="仿宋" w:eastAsia="仿宋" w:cs="仿宋"/>
                <w:kern w:val="0"/>
              </w:rPr>
              <w:t>20%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1086904D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182C1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4EEB5B32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5</w:t>
            </w:r>
            <w:r>
              <w:rPr>
                <w:rFonts w:hint="eastAsia" w:ascii="仿宋" w:hAnsi="仿宋" w:eastAsia="仿宋" w:cs="仿宋"/>
                <w:kern w:val="0"/>
              </w:rPr>
              <w:t>）测试总体测试策略全面、合理（3</w:t>
            </w:r>
            <w:r>
              <w:rPr>
                <w:rFonts w:ascii="仿宋" w:hAnsi="仿宋" w:eastAsia="仿宋" w:cs="仿宋"/>
                <w:kern w:val="0"/>
              </w:rPr>
              <w:t>0%</w:t>
            </w:r>
            <w:r>
              <w:rPr>
                <w:rFonts w:hint="eastAsia" w:ascii="仿宋" w:hAnsi="仿宋" w:eastAsia="仿宋" w:cs="仿宋"/>
                <w:kern w:val="0"/>
              </w:rPr>
              <w:t>）</w:t>
            </w:r>
          </w:p>
        </w:tc>
        <w:tc>
          <w:tcPr>
            <w:tcW w:w="1043" w:type="dxa"/>
          </w:tcPr>
          <w:p w14:paraId="36167FA8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49649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6EB43FAF">
            <w:pPr>
              <w:spacing w:line="300" w:lineRule="auto"/>
              <w:rPr>
                <w:rFonts w:ascii="仿宋" w:hAnsi="仿宋" w:eastAsia="仿宋" w:cs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（6）测试充分性判断标准合理（10%）</w:t>
            </w:r>
          </w:p>
        </w:tc>
        <w:tc>
          <w:tcPr>
            <w:tcW w:w="1043" w:type="dxa"/>
          </w:tcPr>
          <w:p w14:paraId="13FC1955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</w:tbl>
    <w:p>
      <w:r>
        <w:br w:type="page"/>
      </w:r>
    </w:p>
    <w:p>
      <w:pPr>
        <w:spacing w:before="120" w:after="120"/>
      </w:pPr>
      <w:r>
        <w:rPr>
          <w:rFonts w:ascii="Times New Roman" w:hAnsi="Times New Roman" w:eastAsia="仿宋_GB2312"/>
          <w:b/>
          <w:color w:val="000000"/>
          <w:sz w:val="32"/>
        </w:rPr>
        <w:t>1、选取的开源项目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1.1 项目概况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本次选取 Apache 软件基金会（ASF）旗下的 Apache Commons CLI，版本 1.11.0。该项目是 Apache Commons 组件库中的命令行参数解析组件，为 Java 应用提供 POSIX/GNU 风格选项解析、选项组互斥、参数类型转换等能力，是 Maven、Ant、Hadoop 等大量 Java 生态项目间接依赖的基础库。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项目属性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项目全称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Apache Commons CLI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所属社区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Apache Software Foundation（Apache Commons 项目组）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官方网站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https://commons.apache.org/proper/commons-cli/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本次分析版本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1.11.0（2025 年发布，最新稳定版）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源码托管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https://gitbox.apache.org/repos/asf?p=commons-cli.git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许可证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Apache License 2.0（由 LICENSE.txt 与 NOTICE.txt 声明）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扫描对象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commons-cli-1.11.0 发行包（177 个文件）+ 源码包（95 个文件）</w:t>
            </w:r>
          </w:p>
        </w:tc>
      </w:tr>
    </w:tbl>
    <w:p>
      <w:pPr>
        <w:spacing w:after="0"/>
      </w:pP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1.2 选择该项目的理由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（1）许可模型清晰。整个项目以单一 Apache-2.0 许可证发布，属于业界最典型的“宽松型 + 专利授权 + 商标保留”许可样板，便于把工具输出与许可证条文逐条对照。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（2）体量适中、可复现。发行包仅 177 个文件，全量扫描 61 秒即可完成，既能覆盖 Java 源码、XML 配置、Markdown 文档、SVG/JS/CSS 静态资源、二进制 jar 等多种文件类型，又不会因规模过大导致报告冗长。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（3）具备真实的“合规陷阱”。该项目发行包内含 apidocs（Javadoc 生成的 API 文档），其中捆绑了 JQuery、OpenJDK 文档工具链、DejaVu 字体等第三方资产，使扫描结果出现 Apache-2.0 以外的 8 种许可证表达式，正好构成合规分析的落点，避免“全项目只有一种许可证、分析无话可说”的空洞报告。</w:t>
      </w:r>
    </w:p>
    <w:p>
      <w:pPr>
        <w:spacing w:before="120" w:after="120"/>
      </w:pPr>
      <w:r>
        <w:rPr>
          <w:rFonts w:ascii="Times New Roman" w:hAnsi="Times New Roman" w:eastAsia="仿宋_GB2312"/>
          <w:b/>
          <w:color w:val="000000"/>
          <w:sz w:val="32"/>
        </w:rPr>
        <w:t>2、许可证合规检测工具的安装过程及遇到的问题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2.1 工具选型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采用 ScanCode Toolkit 32.5.0。选型对比了业界常用的三款工具：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工具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检测能力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报告形式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ScanCode Toolkit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许可证+版权+依赖+包信息，SPDX 3.27 全库模板，支持 Aho-Corasick/hash/序列三种匹配器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JSON/HTML/SPDX/CSV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选用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FOSSology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许可证+版权，依赖服务端部署（PostgreSQL+Web UI）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Web 报表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部署成本高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Licensee.js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仅按文件名与少量特征识别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文本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精度不足</w:t>
            </w:r>
          </w:p>
        </w:tc>
      </w:tr>
    </w:tbl>
    <w:p>
      <w:pPr>
        <w:spacing w:after="0"/>
      </w:pP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ScanCode 输出结构化 JSON（含每个匹配的 score、matcher、matched_text、行号区间），且内置 SPDX 官方许可证全文库，能够支撑“逐条比对条文”的深度分析，因此最终选定 ScanCode。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2.2 安装过程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环境：Windows 11 + Python 3.13.12。采用 pip 在独立虚拟环境中安装，避免污染系统环境：</w:t>
      </w:r>
    </w:p>
    <w:p>
      <w:pPr>
        <w:spacing w:line="240" w:lineRule="auto" w:after="40"/>
        <w:ind w:left="454"/>
      </w:pPr>
      <w:r>
        <w:rPr>
          <w:rFonts w:ascii="Consolas" w:hAnsi="Consolas" w:eastAsia="Consolas"/>
          <w:sz w:val="17"/>
        </w:rPr>
        <w:t>python -m venv C:\...\envs\hw</w:t>
        <w:br/>
        <w:t>python.exe -m pip install --index-url https://mirrors.aliyun.com/pypi/simple/ \</w:t>
        <w:br/>
        <w:t xml:space="preserve">        --trusted-host mirrors.aliyun.com scancode-toolkit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安装完成后校验版本，输出确认工具与许可证库均已就绪：</w:t>
      </w:r>
    </w:p>
    <w:p>
      <w:pPr>
        <w:spacing w:line="240" w:lineRule="auto" w:after="40"/>
        <w:ind w:left="454"/>
      </w:pPr>
      <w:r>
        <w:rPr>
          <w:rFonts w:ascii="Consolas" w:hAnsi="Consolas" w:eastAsia="Consolas"/>
          <w:sz w:val="17"/>
        </w:rPr>
        <w:t>$ scancode --version</w:t>
        <w:br/>
        <w:t>ScanCode version: 32.5.0</w:t>
        <w:br/>
        <w:t>ScanCode Output Format version: 4.1.0</w:t>
        <w:br/>
        <w:t>SPDX License list version: 3.27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2.3 遇到的问题及解决办法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问题现象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原因定位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解决办法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pip 停在 Downloading scancode_toolkit-32.5.0-...whl (126.2 MB) 超时失败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环境代理对 pypi.org 元数据放行，但对 files.pythonhosted.org 文件流返回 0 字节（curl 实测 speed=0）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unset 全部代理变量并改用国内镜像源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切换镜像后仍极慢（约 30 KB/s）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单连接限速且连接易被中断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自写多线程分段下载器（8 线程 × 4MB Range 分片、断点续传），速度提升到约 850 KB/s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scancode 报 ValueError: did not find any 'pre_scan' hooks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pip 解析到 pluggy 1.7.0，其 add_hookspecs 行为变更与 plugincode 32.0.0 不兼容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降级为 pluggy&lt;1.6（1.5.x）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output file parent is not a directory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ScanCode 不自动创建输出目录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预先创建 output/ 目录后重跑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含 C 扩展的包在 Python 3.13 下触发本地编译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无预编译 wheel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加 --prefer-binary 优先选用预编译 wheel</w:t>
            </w:r>
          </w:p>
        </w:tc>
      </w:tr>
    </w:tbl>
    <w:p>
      <w:pPr>
        <w:spacing w:after="0"/>
      </w:pP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经验小结：在受限网络环境中，ScanCode 安装的最大障碍不是工具本身而是大体积 wheel 的传输。建议优先使用官方预编译的 standalone 发行包，或以“先镜像下载 wheel 到本地、再 pip --find-links 离线安装”的方式，可显著提升成功率。</w:t>
      </w:r>
    </w:p>
    <w:p>
      <w:pPr>
        <w:spacing w:before="120" w:after="120"/>
      </w:pPr>
      <w:r>
        <w:rPr>
          <w:rFonts w:ascii="Times New Roman" w:hAnsi="Times New Roman" w:eastAsia="仿宋_GB2312"/>
          <w:b/>
          <w:color w:val="000000"/>
          <w:sz w:val="32"/>
        </w:rPr>
        <w:t>3、工具输出的检测报告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3.1 扫描命令与执行情况</w:t>
      </w:r>
    </w:p>
    <w:p>
      <w:pPr>
        <w:spacing w:line="240" w:lineRule="auto" w:after="40"/>
        <w:ind w:left="454"/>
      </w:pPr>
      <w:r>
        <w:rPr>
          <w:rFonts w:ascii="Consolas" w:hAnsi="Consolas" w:eastAsia="Consolas"/>
          <w:sz w:val="17"/>
        </w:rPr>
        <w:t>scancode -clieu --license-text --classify --json-pp output/commons-cli-scan.json \</w:t>
        <w:br/>
        <w:t xml:space="preserve">         commons-cli-1.11.0 -n 4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其中 -c 版权、-l 许可证、-i 文件信息、-e 邮箱、-u URL、--classify 文件分类、-n 4 使用 4 进程并行。两次扫描的执行情况如下：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扫描对象</w:t>
            </w:r>
          </w:p>
        </w:tc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文件总数</w:t>
            </w:r>
          </w:p>
        </w:tc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扫描耗时</w:t>
            </w:r>
          </w:p>
        </w:tc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命中许可证的文件</w:t>
            </w:r>
          </w:p>
        </w:tc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识别出的许可证表达式</w:t>
            </w:r>
          </w:p>
        </w:tc>
      </w:tr>
      <w:tr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binary 发行包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177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61.13 s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70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11 种</w:t>
            </w:r>
          </w:p>
        </w:tc>
      </w:tr>
      <w:tr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sources jar 源码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95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30.38 s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 种（apache-2.0）</w:t>
            </w:r>
          </w:p>
        </w:tc>
      </w:tr>
    </w:tbl>
    <w:p>
      <w:pPr>
        <w:spacing w:after="0"/>
      </w:pP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3.2 发行包扫描结果总览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ScanCode 对发行包识别出如下许可证分布（按命中文件数排序）：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许可证表达式（SPDX）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命中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最高分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涉及内容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Apache-2.0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48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LICENSE.txt、NOTICE.txt、README、CONTRIBUTING 及文档源码页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UPL-1.0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 下 Javadoc 生成器的样式表、脚本、图标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MIT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jquery-3.7.1.min.js、jquery-ui.min.js/css、legal/jquery.md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Generic-CLA AND Apache-2.0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CONTRIBUTING.md、README.md（贡献者许可声明）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GPL-2.0 WITH Classpath-exception-2.0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apidocs/legal/ADDITIONAL_LICENSE_INFO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GPL-2.0 WITH Oracle-OpenJDK-Classpath-exception-2.0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apidocs/legal/LICENSE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OpenJDK-assembly-exception-1.0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90.2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apidocs/legal/ASSEMBLY_EXCEPTION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MIT AND CC0-1.0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apidocs/legal/jqueryUI.md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Bitstream/公共领域/AMS-Fonts 组合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apidocs/legal/dejavufonts.md</w:t>
            </w:r>
          </w:p>
        </w:tc>
      </w:tr>
    </w:tbl>
    <w:p>
      <w:pPr>
        <w:spacing w:after="0"/>
      </w:pP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3.3 版权与文件类型分布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版权声明共提取到 14 类持有人，其中 “The Apache Software Foundation” 出现 98 次占绝对主导；其余为 “Oracle and/or its affiliates”（7 次，来自 OpenJDK 文档工具链）、“Bitstream, Inc.” 与 “Tavmjong Bah”（DejaVu 字体）、“OpenJS Foundation”（JQuery）、“American Mathematical Society”（AMS 字体）等第三方权利人。177 个文件涵盖 Java/HTML/XML/JSON/JavaScript/CSS/SVG/Markdown/PNG/JAR 等 10 余种类型，说明 ScanCode 的文件分类器能正确区分源码、文档、静态资源与二进制产物。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3.4 源码级扫描结果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对 sources jar（87 个 .java + 8 个资源文件）单独扫描：89 个源文件中 88 个带有标准 Apache-2.0 文件头（匹配分 100.0，2-aho 匹配器），未检出任何 Copyleft 许可证；仅 MANIFEST.MF、pom.properties、logo.png 三个非代码文件无许可证声明（属正常情形）。源码中 91 次出现 https://www.apache.org/licenses/LICENSE-2.0 声明 URL。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匹配器</w:t>
            </w:r>
          </w:p>
        </w:tc>
        <w:tc>
          <w:tcPr>
            <w:tcW w:type="dxa" w:w="2769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工作原理</w:t>
            </w:r>
          </w:p>
        </w:tc>
        <w:tc>
          <w:tcPr>
            <w:tcW w:type="dxa" w:w="2769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本次命中场景</w:t>
            </w:r>
          </w:p>
        </w:tc>
      </w:tr>
      <w:tr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1-hash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对完整许可证文本做 SHA1 精确哈希比对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LICENSE.txt、ADDITIONAL_LICENSE_INFO 等完整原文</w:t>
            </w:r>
          </w:p>
        </w:tc>
      </w:tr>
      <w:tr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2-aho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Aho-Corasick 多模式串自动机，检测片段化、改写过的许可证声明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88 个 Java 文件头、NOTICE、SVG/JS/CSS 中的授权声明</w:t>
            </w:r>
          </w:p>
        </w:tc>
      </w:tr>
      <w:tr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3-seq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序列匹配（近似字符串对齐），容忍插入/删改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Javadoc HTML 中被 HTML 标签打断的许可证文本、ASSEMBLY_EXCEPTION</w:t>
            </w:r>
          </w:p>
        </w:tc>
      </w:tr>
    </w:tbl>
    <w:p>
      <w:pPr>
        <w:spacing w:after="0"/>
      </w:pPr>
    </w:p>
    <w:p>
      <w:pPr>
        <w:spacing w:before="120" w:after="120"/>
      </w:pPr>
      <w:r>
        <w:rPr>
          <w:rFonts w:ascii="Times New Roman" w:hAnsi="Times New Roman" w:eastAsia="仿宋_GB2312"/>
          <w:b/>
          <w:color w:val="000000"/>
          <w:sz w:val="32"/>
        </w:rPr>
        <w:t>4、针对工具输出报告的详细分析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4.1 Apache-2.0 主许可证的合规判定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LICENSE.txt 被 1-hash 匹配器以 100.0 分命中 apache-2.0，说明其为 Apache License 2.0 未经改动的完整原文；NOTICE.txt 以 95.0 分命中，内容为 “This product includes software developed at The Apache Software Foundation”。二者构成 Apache-2.0 第 4 条（Redistribution）要求的完整分发要件。据此判定：4(a) 随附许可证副本——满足（LICENSE.txt 在包根目录）；4(b) 修改文件需标注——本项目为原样分发无修改，不适用；4(c) 保留全部版权、专利、商标与归属声明——满足（98 处 ASF 版权声明完整保留）；4(d) 若含 NOTICE 文件则须随发行物一并提供——满足（NOTICE.txt 随包分发）。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此外，Apache-2.0 第 3 条授予使用者永久、全球、免费的专利许可，并在末段设置专利报复条款（若使用者就本作品提起专利诉讼，其获得的专利授权即终止）；第 6 条明确不授予商标使用权。因此下游产品可以使用、修改、闭源再分发 Commons CLI，但不得使用 “Apache”“Commons CLI” 等 ASF 商标为自身产品背书。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4.2 发行包中第三方许可证的识别与边界划分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扫描结果中最值得关注的现象是：发行包里出现了 GPL-2.0、OpenJDK、Bitstream、UPL-1.0 等看似与 Apache-2.0 冲突的许可证。逐路径核对后确认，这些许可证全部落在 apidocs/ 目录内，且均为 Javadoc 文档生成工具链与前端资源自带：apidocs/legal/LICENSE 为 GPL-2.0 WITH Oracle-OpenJDK-Classpath-exception-2.0（JDK 许可证副本）；ADDITIONAL_LICENSE_INFO 为 Oracle 对 JDK 部分文件的附加许可说明；ASSEMBLY_EXCEPTION（90.2 分）为 GPL-2.0 + 装配例外，允许链接而不传染；dejavufonts.md 为 DejaVu 字体（Bitstream Vera 派生 + 公有领域）；jquery.md 与 jqueryUI.md 为 JQuery 的 MIT 及 MIT+CC0 双授权；resource-files 下的样式与图标为 UPL-1.0。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关键判据有两条：其一，源码目录扫描结果中上述许可证命中数为 0，89 个源文件 100% 为 Apache-2.0；其二，apidocs 是构建产物，按 ASF 的发布惯例属于 documentation artifacts，其内嵌资源遵循各自原始许可证，并不改变 jar 包的许可状态。因此判定：Commons CLI 的可执行产物为纯 Apache-2.0，不存在许可证冲突。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4.3 许可证兼容性矩阵分析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许可证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类型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与 Apache-2.0 兼容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处置要求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Apache-2.0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宽松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—（基准）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保留 LICENSE/NOTICE，标注修改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MIT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宽松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保留版权与许可声明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UPL-1.0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宽松（弱互惠）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保留声明；修改 UPL 文件需以 UPL 回馈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CC0-1.0 / 公有领域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公有领域奉献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无附加义务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Bitstream Vera / DejaVu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字体专用许可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保留字体版权声明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OpenJDK-assembly-exception-1.0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GPL-2.0+装配例外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有条件兼容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仅随文档分发，不参与编译链接，无传染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GPL-2.0-only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强 Copyleft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不兼容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若构成衍生作品则整体须 GPL-2.0 开源（本项目不适用）</w:t>
            </w:r>
          </w:p>
        </w:tc>
      </w:tr>
    </w:tbl>
    <w:p>
      <w:pPr>
        <w:spacing w:after="0"/>
      </w:pP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矩阵的核心结论：MIT/UPL/CC0/公有领域类许可证只要保留声明即可安全并入；GPL-2.0 虽在理论上与 Apache-2.0 单向不兼容（Apache-2.0 含额外专利与赔偿条款，GPL-2.0 无法吸收），但在本项目中 GPL-2.0 仅以“独立文档 + 装配例外”形式存在，不构成衍生作品，故不触发传染。这一判定正是合规工作的价值所在——若只看“GPL-2.0 命中 2 个文件”的字面结论就下“许可证冲突”的判断，属于典型误报。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4.4 工具检测质量的评估与局限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（1）高置信度：核心结论（apache-2.0）由 1-hash 精确哈希与 2-aho 双重确认，匹配分 100.0。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（2）存在少量“语义正确、归类偏宽”的结果：如 NOTICE.txt 只有一句归属声明却被判为 apache-2.0（95.0）；CONTRIBUTING.md 中的贡献者许可条款被判为 generic-cla（ScanCode 的 LicenseRef 扩展，非 SPDX 标准许可证）。这是片段匹配在短文本上的固有局限，需人工二次确认。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（3）ASSEMBLY_EXCEPTION 匹配分为 90.2（3-seq），低于其他文件的 100.0，原因是文件含 HTML 链接与换行导致文本错位，说明分数不应作为唯一判据，应结合 matched_text 与行号人工复核。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（4）ScanCode 默认不做依赖解析，无法给出 Maven 坐标级的 SBOM 传递依赖树；若需完整 SCA 能力，应补充 package 扫描获取 PURL。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4.5 合规风险结论与整改建议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综合判定：Apache Commons CLI 1.11.0 的许可状况合规、风险可控，可安全用于商业闭源产品，无需开源自身代码。落地建议：① 产品分发时完整保留 LICENSE.txt 与 NOTICE.txt，并在第三方声明文件中列出 “Apache Commons CLI, Copyright 2002-2025 The Apache Software Foundation, Apache-2.0”；② 若对源码做过修改，须在修改文件中加入显著修改说明（Apache-2.0 §4(b)）；③ 不得在产品名称、宣传材料中使用 Apache 商标暗示官方背书（§6）；④ 若将 apidocs 一并再分发，须同时保留 apidocs/legal 下的 5 份第三方许可文件，否则构成对 JQuery 与字体的许可违约；⑤ 建议在 CI 中固化 “scancode -clieu --json-pp” 扫描并设阈值门禁，对新增 GPL/AGPL 类命中自动告警。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1BED45">
    <w:pPr>
      <w:pStyle w:val="4"/>
      <w:jc w:val="center"/>
      <w:rPr>
        <w:rFonts w:ascii="宋体"/>
        <w:sz w:val="21"/>
        <w:szCs w:val="21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FC2EF0"/>
  <w:p w14:paraId="24A17E3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oNotHyphenateCaps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FF7"/>
    <w:rsid w:val="00004924"/>
    <w:rsid w:val="0004082D"/>
    <w:rsid w:val="00122EF6"/>
    <w:rsid w:val="001B25B7"/>
    <w:rsid w:val="00210F7B"/>
    <w:rsid w:val="002A68D5"/>
    <w:rsid w:val="002B1E36"/>
    <w:rsid w:val="002E6DAA"/>
    <w:rsid w:val="00300C0D"/>
    <w:rsid w:val="0031225C"/>
    <w:rsid w:val="00327EE0"/>
    <w:rsid w:val="003939A9"/>
    <w:rsid w:val="003D5142"/>
    <w:rsid w:val="004C0520"/>
    <w:rsid w:val="00543D41"/>
    <w:rsid w:val="0056650E"/>
    <w:rsid w:val="006271D4"/>
    <w:rsid w:val="00652FF7"/>
    <w:rsid w:val="00670E8A"/>
    <w:rsid w:val="00777921"/>
    <w:rsid w:val="00780EF2"/>
    <w:rsid w:val="007B2FC0"/>
    <w:rsid w:val="007B59F3"/>
    <w:rsid w:val="007E21F6"/>
    <w:rsid w:val="007E763B"/>
    <w:rsid w:val="007F5A3E"/>
    <w:rsid w:val="008E5344"/>
    <w:rsid w:val="00911CFD"/>
    <w:rsid w:val="00956CF2"/>
    <w:rsid w:val="00A15A10"/>
    <w:rsid w:val="00A4464A"/>
    <w:rsid w:val="00AB32CB"/>
    <w:rsid w:val="00AE7B1B"/>
    <w:rsid w:val="00BB2BBC"/>
    <w:rsid w:val="00BC35C9"/>
    <w:rsid w:val="00BE2E5F"/>
    <w:rsid w:val="00C70D3A"/>
    <w:rsid w:val="00C85277"/>
    <w:rsid w:val="00D02F64"/>
    <w:rsid w:val="00DF1951"/>
    <w:rsid w:val="00DF2C02"/>
    <w:rsid w:val="00E12444"/>
    <w:rsid w:val="00E749A8"/>
    <w:rsid w:val="00E85B11"/>
    <w:rsid w:val="00E911C2"/>
    <w:rsid w:val="00F61227"/>
    <w:rsid w:val="00F93499"/>
    <w:rsid w:val="00F95DEC"/>
    <w:rsid w:val="00FE3EF8"/>
    <w:rsid w:val="05F15D1D"/>
    <w:rsid w:val="0695635D"/>
    <w:rsid w:val="0C620734"/>
    <w:rsid w:val="12FD788F"/>
    <w:rsid w:val="1A101EFF"/>
    <w:rsid w:val="1AB55DD4"/>
    <w:rsid w:val="1C787CA6"/>
    <w:rsid w:val="23E65FFA"/>
    <w:rsid w:val="32FB6306"/>
    <w:rsid w:val="36034403"/>
    <w:rsid w:val="38DD575A"/>
    <w:rsid w:val="3BDF39ED"/>
    <w:rsid w:val="3D775432"/>
    <w:rsid w:val="47351CE1"/>
    <w:rsid w:val="4C987DD0"/>
    <w:rsid w:val="60CA19D8"/>
    <w:rsid w:val="665D5E75"/>
    <w:rsid w:val="6D2E4BAB"/>
    <w:rsid w:val="71E75D3D"/>
    <w:rsid w:val="720A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nhideWhenUsed="0" w:uiPriority="99" w:semiHidden="0" w:name="heading 3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styleId="2">
    <w:name w:val="heading 3"/>
    <w:basedOn w:val="1"/>
    <w:next w:val="1"/>
    <w:link w:val="9"/>
    <w:qFormat/>
    <w:uiPriority w:val="9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0"/>
    <w:semiHidden/>
    <w:qFormat/>
    <w:uiPriority w:val="99"/>
    <w:rPr>
      <w:sz w:val="18"/>
      <w:szCs w:val="18"/>
    </w:rPr>
  </w:style>
  <w:style w:type="paragraph" w:styleId="4">
    <w:name w:val="footer"/>
    <w:basedOn w:val="1"/>
    <w:link w:val="1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标题 3 字符"/>
    <w:link w:val="2"/>
    <w:semiHidden/>
    <w:qFormat/>
    <w:locked/>
    <w:uiPriority w:val="99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0">
    <w:name w:val="批注框文本 字符"/>
    <w:link w:val="3"/>
    <w:semiHidden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1">
    <w:name w:val="页脚 字符"/>
    <w:link w:val="4"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2">
    <w:name w:val="页眉 字符"/>
    <w:link w:val="5"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paragraph" w:customStyle="1" w:styleId="13">
    <w:name w:val="List Paragraph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3</Pages>
  <Words>364</Words>
  <Characters>401</Characters>
  <Lines>3</Lines>
  <Paragraphs>1</Paragraphs>
  <TotalTime>6</TotalTime>
  <ScaleCrop>false</ScaleCrop>
  <LinksUpToDate>false</LinksUpToDate>
  <CharactersWithSpaces>444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2023-08-22T04:51:00Z</dcterms:created>
  <dc:creator>微软用户</dc:creator>
  <cp:lastModifiedBy>依帆临水</cp:lastModifiedBy>
  <dcterms:modified xsi:type="dcterms:W3CDTF">2026-10-08T11:26:42Z</dcterms:modified>
  <dc:title>课程编号：B0801*****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eyJoZGlkIjoiNDgwYTczMWY1MmU4Njk2MDNiY2QyNDljNjZhY2Y5OGIiLCJ1c2VySWQiOiIzMTAyOTEwNTUifQ==</vt:lpwstr>
  </property>
  <property fmtid="{D5CDD505-2E9C-101B-9397-08002B2CF9AE}" pid="4" name="ICV">
    <vt:lpwstr>2FCBE16CC9AA4110AD018CF3B4DFFEB0_12</vt:lpwstr>
  </property>
</Properties>
</file>