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 w:eastAsia="宋体"/>
          <w:b w:val="0"/>
          <w:sz w:val="24"/>
        </w:rPr>
        <w:t>课程编号：</w:t>
      </w:r>
    </w:p>
    <w:p/>
    <w:p/>
    <w:p/>
    <w:p/>
    <w:p>
      <w:pPr>
        <w:spacing w:after="120"/>
        <w:jc w:val="center"/>
      </w:pPr>
      <w:r>
        <w:rPr>
          <w:rFonts w:ascii="Times New Roman" w:hAnsi="Times New Roman" w:eastAsia="黑体"/>
          <w:b/>
          <w:sz w:val="44"/>
        </w:rPr>
        <w:t>《开源创新思维》</w:t>
      </w:r>
    </w:p>
    <w:p>
      <w:pPr>
        <w:spacing w:after="600"/>
        <w:jc w:val="center"/>
      </w:pPr>
      <w:r>
        <w:rPr>
          <w:rFonts w:ascii="Times New Roman" w:hAnsi="Times New Roman" w:eastAsia="黑体"/>
          <w:b/>
          <w:sz w:val="44"/>
        </w:rPr>
        <w:t>平时作业报告</w:t>
      </w:r>
    </w:p>
    <w:p>
      <w:pPr>
        <w:spacing w:after="480"/>
        <w:jc w:val="center"/>
      </w:pPr>
      <w:r>
        <w:rPr>
          <w:rFonts w:ascii="Times New Roman" w:hAnsi="Times New Roman" w:eastAsia="宋体"/>
          <w:b/>
          <w:sz w:val="32"/>
        </w:rPr>
        <w:t>上海杉达学院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rHeight w:val="510"/>
        </w:trPr>
        <w:tc>
          <w:tcPr>
            <w:tcW w:type="dxa" w:w="2324"/>
            <w:shd w:fill="F2F2F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姓        名</w:t>
            </w:r>
          </w:p>
        </w:tc>
        <w:tc>
          <w:tcPr>
            <w:tcW w:type="dxa" w:w="23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李君豪</w:t>
            </w:r>
          </w:p>
        </w:tc>
        <w:tc>
          <w:tcPr>
            <w:tcW w:type="dxa" w:w="2324"/>
            <w:shd w:fill="F2F2F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学       号</w:t>
            </w:r>
          </w:p>
        </w:tc>
        <w:tc>
          <w:tcPr>
            <w:tcW w:type="dxa" w:w="23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F25011424</w:t>
            </w:r>
          </w:p>
        </w:tc>
      </w:tr>
      <w:tr>
        <w:trPr>
          <w:trHeight w:val="510"/>
        </w:trPr>
        <w:tc>
          <w:tcPr>
            <w:tcW w:type="dxa" w:w="2324"/>
            <w:shd w:fill="F2F2F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班        级</w:t>
            </w:r>
          </w:p>
        </w:tc>
        <w:tc>
          <w:tcPr>
            <w:tcW w:type="dxa" w:w="23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F250117</w:t>
            </w:r>
          </w:p>
        </w:tc>
        <w:tc>
          <w:tcPr>
            <w:tcW w:type="dxa" w:w="2324"/>
            <w:shd w:fill="F2F2F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指 导 教 师</w:t>
            </w:r>
          </w:p>
        </w:tc>
        <w:tc>
          <w:tcPr>
            <w:tcW w:type="dxa" w:w="23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祝欣蓉</w:t>
            </w:r>
          </w:p>
        </w:tc>
      </w:tr>
      <w:tr>
        <w:trPr>
          <w:trHeight w:val="510"/>
        </w:trPr>
        <w:tc>
          <w:tcPr>
            <w:tcW w:type="dxa" w:w="2324"/>
            <w:shd w:fill="F2F2F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开 设  学 期</w:t>
            </w:r>
          </w:p>
        </w:tc>
        <w:tc>
          <w:tcPr>
            <w:tcW w:type="dxa" w:w="23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2026-2027秋季学期</w:t>
            </w:r>
          </w:p>
        </w:tc>
        <w:tc>
          <w:tcPr>
            <w:tcW w:type="dxa" w:w="2324"/>
            <w:shd w:fill="F2F2F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开 设  时 间</w:t>
            </w:r>
          </w:p>
        </w:tc>
        <w:tc>
          <w:tcPr>
            <w:tcW w:type="dxa" w:w="23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第1周——第16周</w:t>
            </w:r>
          </w:p>
        </w:tc>
      </w:tr>
      <w:tr>
        <w:trPr>
          <w:trHeight w:val="510"/>
        </w:trPr>
        <w:tc>
          <w:tcPr>
            <w:tcW w:type="dxa" w:w="2324"/>
            <w:shd w:fill="F2F2F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报 告 日 期</w:t>
            </w:r>
          </w:p>
        </w:tc>
        <w:tc>
          <w:tcPr>
            <w:tcW w:type="dxa" w:w="23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2026年10月29日</w:t>
            </w:r>
          </w:p>
        </w:tc>
        <w:tc>
          <w:tcPr>
            <w:tcW w:type="dxa" w:w="2324"/>
            <w:shd w:fill="F2F2F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评 定  成 绩</w:t>
            </w:r>
          </w:p>
        </w:tc>
        <w:tc>
          <w:tcPr>
            <w:tcW w:type="dxa" w:w="23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sz w:val="32"/>
        </w:rPr>
        <w:t>平时作业 1——第 2 章 开源合规与许可证</w:t>
      </w:r>
    </w:p>
    <w:p>
      <w:pPr>
        <w:spacing w:after="40"/>
        <w:jc w:val="center"/>
      </w:pPr>
      <w:r>
        <w:rPr>
          <w:rFonts w:ascii="Times New Roman" w:hAnsi="Times New Roman" w:eastAsia="楷体"/>
          <w:b w:val="0"/>
          <w:sz w:val="21"/>
        </w:rPr>
        <w:t>——基于 ScanCode Toolkit 对 Apache Commons CLI 的许可证合规扫描</w:t>
      </w:r>
    </w:p>
    <w:p>
      <w:pPr>
        <w:spacing w:after="160"/>
        <w:jc w:val="center"/>
      </w:pPr>
      <w:r>
        <w:rPr>
          <w:rFonts w:ascii="Times New Roman" w:hAnsi="Times New Roman" w:eastAsia="楷体"/>
          <w:b w:val="0"/>
          <w:sz w:val="20"/>
        </w:rPr>
        <w:t>班级：F250117    学号：F25011424    姓名：李君豪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4"/>
        </w:rPr>
        <w:t>一、选取的开源项目</w:t>
      </w: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1.1 项目概况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本次选取 Apache 软件基金会（ASF）旗下的 Apache Commons CLI，版本 1.11.0。该项目是 Apache Commons 组件库中的命令行参数解析组件，为 Java 应用提供 POSIX/GNU 风格选项解析、选项组互斥、参数类型转换等能力，是 Maven、Ant、Hadoop 等大量 Java 生态项目间接依赖的基础库。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04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项目属性</w:t>
            </w:r>
          </w:p>
        </w:tc>
        <w:tc>
          <w:tcPr>
            <w:tcW w:type="dxa" w:w="6463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项目全称</w:t>
            </w:r>
          </w:p>
        </w:tc>
        <w:tc>
          <w:tcPr>
            <w:tcW w:type="dxa" w:w="646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Apache Commons CLI</w:t>
            </w:r>
          </w:p>
        </w:tc>
      </w:tr>
      <w:tr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所属社区</w:t>
            </w:r>
          </w:p>
        </w:tc>
        <w:tc>
          <w:tcPr>
            <w:tcW w:type="dxa" w:w="646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Apache Software Foundation（Apache Commons 项目组）</w:t>
            </w:r>
          </w:p>
        </w:tc>
      </w:tr>
      <w:tr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官方网站</w:t>
            </w:r>
          </w:p>
        </w:tc>
        <w:tc>
          <w:tcPr>
            <w:tcW w:type="dxa" w:w="646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https://commons.apache.org/proper/commons-cli/</w:t>
            </w:r>
          </w:p>
        </w:tc>
      </w:tr>
      <w:tr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本次分析版本</w:t>
            </w:r>
          </w:p>
        </w:tc>
        <w:tc>
          <w:tcPr>
            <w:tcW w:type="dxa" w:w="646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1.11.0（2025 年发布，最新稳定版）</w:t>
            </w:r>
          </w:p>
        </w:tc>
      </w:tr>
      <w:tr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源码托管</w:t>
            </w:r>
          </w:p>
        </w:tc>
        <w:tc>
          <w:tcPr>
            <w:tcW w:type="dxa" w:w="646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https://gitbox.apache.org/repos/asf?p=commons-cli.git</w:t>
            </w:r>
          </w:p>
        </w:tc>
      </w:tr>
      <w:tr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问题跟踪</w:t>
            </w:r>
          </w:p>
        </w:tc>
        <w:tc>
          <w:tcPr>
            <w:tcW w:type="dxa" w:w="646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https://issues.apache.org/jira/browse/CLI</w:t>
            </w:r>
          </w:p>
        </w:tc>
      </w:tr>
      <w:tr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许可证</w:t>
            </w:r>
          </w:p>
        </w:tc>
        <w:tc>
          <w:tcPr>
            <w:tcW w:type="dxa" w:w="646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Apache License 2.0（由 LICENSE.txt 与 NOTICE.txt 声明）</w:t>
            </w:r>
          </w:p>
        </w:tc>
      </w:tr>
      <w:tr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扫描对象</w:t>
            </w:r>
          </w:p>
        </w:tc>
        <w:tc>
          <w:tcPr>
            <w:tcW w:type="dxa" w:w="646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commons-cli-1.11.0 binary 发行包（177 个文件）+ 源码包（95 个文件）</w:t>
            </w:r>
          </w:p>
        </w:tc>
      </w:tr>
    </w:tbl>
    <w:p>
      <w:pPr>
        <w:spacing w:after="0"/>
      </w:pP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1.2 选择该项目的理由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（1）许可模型清晰。整个项目以单一 Apache-2.0 许可证发布，属于业界最典型的“宽松型 + 专利授权 + 商标保留”许可样板，便于把工具输出与许可证条文逐条对照。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（2）体量适中、可复现。发行包仅 177 个文件，全量扫描 61 秒即可完成，既能覆盖 Java 源码、XML 配置、Markdown 文档、SVG/JS/CSS 静态资源、二进制 jar 等多种文件类型，又不会因规模过大导致报告冗长。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（3）具备真实的“合规陷阱”。该项目发行包内含 apidocs（Javadoc 生成的 API 文档），其中捆绑了 JQuery、OpenJDK 文档工具链、DejaVu 字体等第三方资产，使扫描结果出现 Apache-2.0 以外的 8 种许可证表达式，正好构成合规分析的落点，避免出现“全项目只有一种许可证、分析无话可说”的空洞报告。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4"/>
        </w:rPr>
        <w:t>二、许可证合规检测工具的安装过程及遇到的问题</w:t>
      </w: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2.1 工具选型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采用 ScanCode Toolkit 32.5.0。选型对比了业界常用的三款工具：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814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工具</w:t>
            </w:r>
          </w:p>
        </w:tc>
        <w:tc>
          <w:tcPr>
            <w:tcW w:type="dxa" w:w="3742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检测能力</w:t>
            </w:r>
          </w:p>
        </w:tc>
        <w:tc>
          <w:tcPr>
            <w:tcW w:type="dxa" w:w="170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报告形式</w:t>
            </w:r>
          </w:p>
        </w:tc>
        <w:tc>
          <w:tcPr>
            <w:tcW w:type="dxa" w:w="124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ScanCode Toolkit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许可证 + 版权 + 依赖 + 包信息，SPDX 3.27 全库模板，支持 Aho-Corasick / hash / 序列三种匹配器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JSON / HTML / SPDX / CSV</w:t>
            </w:r>
          </w:p>
        </w:tc>
        <w:tc>
          <w:tcPr>
            <w:tcW w:type="dxa" w:w="12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选用</w:t>
            </w:r>
          </w:p>
        </w:tc>
      </w:tr>
      <w:tr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FOSSology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许可证 + 版权，依赖服务端部署（PostgreSQL + Web UI）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Web 报表</w:t>
            </w:r>
          </w:p>
        </w:tc>
        <w:tc>
          <w:tcPr>
            <w:tcW w:type="dxa" w:w="12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部署成本高</w:t>
            </w:r>
          </w:p>
        </w:tc>
      </w:tr>
      <w:tr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Licensee / licensee.js</w:t>
            </w:r>
          </w:p>
        </w:tc>
        <w:tc>
          <w:tcPr>
            <w:tcW w:type="dxa" w:w="374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仅按文件名与少量特征识别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文本</w:t>
            </w:r>
          </w:p>
        </w:tc>
        <w:tc>
          <w:tcPr>
            <w:tcW w:type="dxa" w:w="12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精度不足</w:t>
            </w:r>
          </w:p>
        </w:tc>
      </w:tr>
    </w:tbl>
    <w:p>
      <w:pPr>
        <w:spacing w:after="0"/>
      </w:pP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ScanCode 输出结构化 JSON（含每个匹配的 score、matcher、matched_text、行号区间），且内置 SPDX 官方许可证全文库，能够支撑“逐条比对条文”的深度分析，因此最终选定 ScanCode。</w:t>
      </w: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2.2 安装过程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环境：Windows 11 + Python 3.13.12。由于当前 Python 3.13 尚未被 ScanCode 官方安装包完整覆盖，采用 pip 在独立虚拟环境中安装，避免污染系统环境：</w:t>
      </w:r>
    </w:p>
    <w:p>
      <w:pPr>
        <w:spacing w:before="40" w:after="60" w:line="240" w:lineRule="auto"/>
        <w:ind w:left="340"/>
        <w:shd w:fill="F4F4F4"/>
      </w:pPr>
      <w:r>
        <w:rPr>
          <w:rFonts w:ascii="Consolas" w:hAnsi="Consolas" w:eastAsia="Consolas"/>
          <w:sz w:val="17"/>
        </w:rPr>
        <w:t>python -m venv C:\...\envs\hw</w:t>
        <w:br/>
        <w:t>python.exe -m pip install --index-url https://mirrors.aliyun.com/pypi/simple/ \</w:t>
        <w:br/>
        <w:t xml:space="preserve">        --trusted-host mirrors.aliyun.com scancode-toolkit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安装完成后校验版本，输出确认工具与许可证库均已就绪：</w:t>
      </w:r>
    </w:p>
    <w:p>
      <w:pPr>
        <w:spacing w:before="40" w:after="60" w:line="240" w:lineRule="auto"/>
        <w:ind w:left="340"/>
        <w:shd w:fill="F4F4F4"/>
      </w:pPr>
      <w:r>
        <w:rPr>
          <w:rFonts w:ascii="Consolas" w:hAnsi="Consolas" w:eastAsia="Consolas"/>
          <w:sz w:val="17"/>
        </w:rPr>
        <w:t>$ scancode --version</w:t>
        <w:br/>
        <w:t>ScanCode version: 32.5.0</w:t>
        <w:br/>
        <w:t>ScanCode Output Format version: 4.1.0</w:t>
        <w:br/>
        <w:t>SPDX License list version: 3.27</w:t>
      </w: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2.3 遇到的问题及解决办法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56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序号</w:t>
            </w:r>
          </w:p>
        </w:tc>
        <w:tc>
          <w:tcPr>
            <w:tcW w:type="dxa" w:w="2835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问题现象</w:t>
            </w:r>
          </w:p>
        </w:tc>
        <w:tc>
          <w:tcPr>
            <w:tcW w:type="dxa" w:w="2835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原因定位</w:t>
            </w:r>
          </w:p>
        </w:tc>
        <w:tc>
          <w:tcPr>
            <w:tcW w:type="dxa" w:w="238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解决办法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pip 安装长时间停在 “Downloading scancode_toolkit-32.5.0-...whl (126.2 MB)”，最终超时失败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环境变量中存在 http_proxy/https_proxy=http://127.0.0.1:49471，该代理对 pypi.org 元数据放行，但对 files.pythonhosted.org 的文件流返回 0 字节，curl 实测 speed=0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安装前 unset 全部代理变量并改用国内镜像源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切换镜像后仍极慢（约 30 KB/s），126 MB 主包需 1 小时以上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单连接限速，且连接易被中断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自写多线程分段下载器（8 线程 × 4 MB Range 分片、断点续传），速度提升到约 850 KB/s，3 分钟内完成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执行 scancode 报 ValueError: did not find any 'pre_scan' hooks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pip 默认解析到 pluggy 1.7.0，其 add_hookspecs 行为变更，与 plugincode 32.0.0 的 hook 注册方式不兼容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降级为 pluggy&lt;1.6（1.5.x），问题消失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Error: output file parent is not a directory or does not exists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ScanCode 不会自动创建输出目录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预先创建 output/ 目录后重跑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publicsuffix2 / intbitset 等含 C 扩展的包在 Python 3.13 下需编译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无预编译 wheel 时会触发本地编译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加 --prefer-binary 优先选用预编译 wheel，全部命中 win_amd64 版本</w:t>
            </w:r>
          </w:p>
        </w:tc>
      </w:tr>
    </w:tbl>
    <w:p>
      <w:pPr>
        <w:spacing w:after="0"/>
      </w:pP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经验小结：在企业内网/受限网络环境中，ScanCode 的安装最大障碍不是工具本身，而是大体积 wheel 的传输。建议优先使用官方预编译的 standalone 发行包（免 Python 环境），或以“先镜像下载 wheel 到本地、再 pip --find-links 离线安装”的方式，可显著提升成功率。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4"/>
        </w:rPr>
        <w:t>三、工具输出的检测报告</w:t>
      </w: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3.1 扫描命令与执行情况</w:t>
      </w:r>
    </w:p>
    <w:p>
      <w:pPr>
        <w:spacing w:before="40" w:after="60" w:line="240" w:lineRule="auto"/>
        <w:ind w:left="340"/>
        <w:shd w:fill="F4F4F4"/>
      </w:pPr>
      <w:r>
        <w:rPr>
          <w:rFonts w:ascii="Consolas" w:hAnsi="Consolas" w:eastAsia="Consolas"/>
          <w:sz w:val="17"/>
        </w:rPr>
        <w:t>scancode -clieu --license-text --classify --json-pp output/commons-cli-scan.json \</w:t>
        <w:br/>
        <w:t xml:space="preserve">         commons-cli-1.11.0 -n 4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其中 -c 版权、-l 许可证、-i 文件信息、-e 邮箱、-u URL、--classify 文件分类、-n 4 使用 4 进程并行。两次扫描的执行情况如下：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14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扫描对象</w:t>
            </w:r>
          </w:p>
        </w:tc>
        <w:tc>
          <w:tcPr>
            <w:tcW w:type="dxa" w:w="124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文件总数</w:t>
            </w:r>
          </w:p>
        </w:tc>
        <w:tc>
          <w:tcPr>
            <w:tcW w:type="dxa" w:w="124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扫描耗时</w:t>
            </w:r>
          </w:p>
        </w:tc>
        <w:tc>
          <w:tcPr>
            <w:tcW w:type="dxa" w:w="204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命中许可证的文件</w:t>
            </w:r>
          </w:p>
        </w:tc>
        <w:tc>
          <w:tcPr>
            <w:tcW w:type="dxa" w:w="226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识别出的许可证表达式</w:t>
            </w:r>
          </w:p>
        </w:tc>
      </w:tr>
      <w:tr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binary 发行包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177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61.13 s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70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11 种</w:t>
            </w:r>
          </w:p>
        </w:tc>
      </w:tr>
      <w:tr>
        <w:tc>
          <w:tcPr>
            <w:tcW w:type="dxa" w:w="18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sources jar 源码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95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30.38 s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种（apache-2.0）</w:t>
            </w:r>
          </w:p>
        </w:tc>
      </w:tr>
    </w:tbl>
    <w:p>
      <w:pPr>
        <w:spacing w:after="0"/>
      </w:pP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3.2 发行包扫描结果总览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ScanCode 对发行包识别出如下许可证分布（按命中文件数排序）：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362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许可证表达式（SPDX）</w:t>
            </w:r>
          </w:p>
        </w:tc>
        <w:tc>
          <w:tcPr>
            <w:tcW w:type="dxa" w:w="1134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命中文件数</w:t>
            </w:r>
          </w:p>
        </w:tc>
        <w:tc>
          <w:tcPr>
            <w:tcW w:type="dxa" w:w="124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最高匹配分</w:t>
            </w:r>
          </w:p>
        </w:tc>
        <w:tc>
          <w:tcPr>
            <w:tcW w:type="dxa" w:w="2835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涉及内容</w:t>
            </w:r>
          </w:p>
        </w:tc>
      </w:tr>
      <w:tr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Apache-2.0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48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LICENSE.txt、NOTICE.txt、README、CONTRIBUTING 及文档源码页</w:t>
            </w:r>
          </w:p>
        </w:tc>
      </w:tr>
      <w:tr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UPL-1.0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 下 Javadoc 生成器的样式表、脚本、图标</w:t>
            </w:r>
          </w:p>
        </w:tc>
      </w:tr>
      <w:tr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MIT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jquery-3.7.1.min.js、jquery-ui.min.js、jquery-ui.min.css、legal/jquery.md</w:t>
            </w:r>
          </w:p>
        </w:tc>
      </w:tr>
      <w:tr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Generic-CLA AND Apache-2.0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CONTRIBUTING.md、README.md（贡献者许可声明）</w:t>
            </w:r>
          </w:p>
        </w:tc>
      </w:tr>
      <w:tr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Generic-CLA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CONTRIBUTING.md</w:t>
            </w:r>
          </w:p>
        </w:tc>
      </w:tr>
      <w:tr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GPL-2.0-only WITH Classpath-exception-2.0 AND other-permissive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apidocs/legal/ADDITIONAL_LICENSE_INFO</w:t>
            </w:r>
          </w:p>
        </w:tc>
      </w:tr>
      <w:tr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GPL-2.0-only WITH Oracle-OpenJDK-Classpath-exception-2.0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apidocs/legal/LICENSE</w:t>
            </w:r>
          </w:p>
        </w:tc>
      </w:tr>
      <w:tr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OpenJDK-assembly-exception-1.0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90.2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apidocs/legal/ASSEMBLY_EXCEPTION</w:t>
            </w:r>
          </w:p>
        </w:tc>
      </w:tr>
      <w:tr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MIT AND CC0-1.0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apidocs/legal/jqueryUI.md</w:t>
            </w:r>
          </w:p>
        </w:tc>
      </w:tr>
      <w:tr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(Bitstream AND Public-domain) AND Bitstream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apidocs/legal/dejavufonts.md</w:t>
            </w:r>
          </w:p>
        </w:tc>
      </w:tr>
      <w:tr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Bitstream AND ... AND AMS-Fonts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apidocs/legal/dejavufonts.md</w:t>
            </w:r>
          </w:p>
        </w:tc>
      </w:tr>
    </w:tbl>
    <w:p>
      <w:pPr>
        <w:spacing w:after="0"/>
      </w:pP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3.3 版权与文件类型分布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版权声明共提取到 14 类持有人，其中 “The Apache Software Foundation” 出现 98 次，占绝对主导；其余为 “Oracle and/or its affiliates”（7 次，来自 OpenJDK 文档工具链）、“Bitstream, Inc.” 与 “Tavmjong Bah”（DejaVu 字体）、“OpenJS Foundation”（JQuery）、“American Mathematical Society”（AMS 字体）等第三方权利人。文件类型方面，177 个文件中目录 19 个、普通文件 158 个，涵盖 Java/HTML/XML/JSON/JavaScript/CSS/SVG/Markdown/PNG/JAR 等 10 余种类型，说明 ScanCode 的文件分类器（--classify）能正确区分源码、文档、静态资源与二进制产物。</w:t>
      </w: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3.4 源码级扫描结果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对 sources jar（87 个 .java + 8 个资源文件）单独扫描，结果高度一致：89 个源文件中 88 个带有标准 Apache-2.0 文件头（匹配分 100.0，2-aho 匹配器），未检出任何 Copyleft 许可证；仅有 MANIFEST.MF、pom.properties、logo.png 三个非代码文件无许可证声明（属正常情形）。源码中 91 次出现 https://www.apache.org/licenses/LICENSE-2.0 声明 URL。</w:t>
      </w:r>
    </w:p>
    <w:p>
      <w:pPr>
        <w:spacing w:before="20" w:after="80"/>
        <w:jc w:val="center"/>
      </w:pPr>
      <w:r>
        <w:rPr>
          <w:rFonts w:ascii="Times New Roman" w:hAnsi="Times New Roman" w:eastAsia="宋体"/>
          <w:b/>
          <w:sz w:val="18"/>
        </w:rPr>
        <w:t>表 3-1  两次扫描的匹配器（matcher）使用情况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24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匹配器</w:t>
            </w:r>
          </w:p>
        </w:tc>
        <w:tc>
          <w:tcPr>
            <w:tcW w:type="dxa" w:w="396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工作原理</w:t>
            </w:r>
          </w:p>
        </w:tc>
        <w:tc>
          <w:tcPr>
            <w:tcW w:type="dxa" w:w="362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本次命中场景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1-hash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对完整许可证文本做 SHA1 精确哈希比对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LICENSE.txt、ADDITIONAL_LICENSE_INFO 等完整原文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2-aho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Aho-Corasick 多模式串自动机，检测片段化、改写过的许可证声明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88 个 Java 文件头、NOTICE、SVG/JS/CSS 中的授权声明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3-seq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序列匹配（近似字符串对齐），容忍插入/删改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Javadoc HTML 中被 HTML 标签打断的许可证文本、ASSEMBLY_EXCEPTION</w:t>
            </w:r>
          </w:p>
        </w:tc>
      </w:tr>
    </w:tbl>
    <w:p>
      <w:pPr>
        <w:spacing w:after="0"/>
      </w:pPr>
    </w:p>
    <w:p>
      <w:pPr>
        <w:spacing w:before="180" w:after="80"/>
      </w:pPr>
      <w:r>
        <w:rPr>
          <w:rFonts w:ascii="Times New Roman" w:hAnsi="Times New Roman" w:eastAsia="黑体"/>
          <w:b/>
          <w:sz w:val="24"/>
        </w:rPr>
        <w:t>四、工具的详细分析</w:t>
      </w: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4.1 Apache-2.0 主许可证的合规判定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LICENSE.txt 被 1-hash 匹配器以 100.0 分命中 apache-2.0，说明其为 Apache License 2.0 未经改动的完整原文；NOTICE.txt 以 95.0 分命中，内容为 “This product includes software developed at The Apache Software Foundation”。二者构成 Apache-2.0 第 4 条（Redistribution）要求的完整分发要件。据此判定：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• 第 4(a) 条 随附许可证副本 —— 满足（LICENSE.txt 在包根目录）；4(b) 修改文件需标注 —— 本项目为原样分发，无修改，不适用；4(c) 保留全部版权、专利、商标与归属声明 —— 满足（98 处 ASF 版权声明完整保留）；4(d) 若含 NOTICE 文件则须随发行物一并提供 —— 满足（NOTICE.txt 随包分发）。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此外，Apache-2.0 第 3 条授予使用者永久、全球、免费的专利许可，并在第 3 条末段设置专利报复条款（若使用者就本作品提起专利诉讼，其获得的专利授权即终止）；第 6 条明确不授予商标使用权。因此下游产品可以使用、修改、闭源再分发 Commons CLI，但不得使用 “Apache”“Commons CLI” 等 ASF 商标为自身产品背书。</w:t>
      </w: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4.2 发行包中第三方许可证的识别与边界划分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扫描结果中最值得关注的现象是：发行包里出现了 GPL-2.0、OpenJDK、Bitstream、UPL-1.0 等看似与 Apache-2.0 冲突的许可证。逐路径核对后可以确认，这些许可证全部落在 apidocs/ 目录内，且均为 Javadoc 文档生成工具链与前端资源自带：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835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文件路径</w:t>
            </w:r>
          </w:p>
        </w:tc>
        <w:tc>
          <w:tcPr>
            <w:tcW w:type="dxa" w:w="2835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识别结果</w:t>
            </w:r>
          </w:p>
        </w:tc>
        <w:tc>
          <w:tcPr>
            <w:tcW w:type="dxa" w:w="260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真实归属</w:t>
            </w:r>
          </w:p>
        </w:tc>
        <w:tc>
          <w:tcPr>
            <w:tcW w:type="dxa" w:w="1134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是否影响主项目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apidocs/legal/LICENSE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GPL-2.0 WITH Oracle-OpenJDK-Classpath-exception-2.0</w:t>
            </w:r>
          </w:p>
        </w:tc>
        <w:tc>
          <w:tcPr>
            <w:tcW w:type="dxa" w:w="26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Javadoc 工具链自带的 JDK 许可证副本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apidocs/legal/ADDITIONAL_LICENSE_INFO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GPL-2.0 WITH Classpath-exception-2.0</w:t>
            </w:r>
          </w:p>
        </w:tc>
        <w:tc>
          <w:tcPr>
            <w:tcW w:type="dxa" w:w="26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Oracle 对 JDK 部分文件的附加许可说明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apidocs/legal/ASSEMBLY_EXCEPTION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OpenJDK-assembly-exception-1.0（90.2）</w:t>
            </w:r>
          </w:p>
        </w:tc>
        <w:tc>
          <w:tcPr>
            <w:tcW w:type="dxa" w:w="26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GPL-2.0 + 装配例外，允许链接而不传染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apidocs/legal/dejavufonts.md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Bitstream AND Public-domain AND AMS-Fonts</w:t>
            </w:r>
          </w:p>
        </w:tc>
        <w:tc>
          <w:tcPr>
            <w:tcW w:type="dxa" w:w="26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DejaVu 字体（Bitstream Vera 派生 + 公有领域）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apidocs/legal/jquery.md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MIT</w:t>
            </w:r>
          </w:p>
        </w:tc>
        <w:tc>
          <w:tcPr>
            <w:tcW w:type="dxa" w:w="26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JQuery 3.7.1 及其 UI 组件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apidocs/legal/jqueryUI.md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MIT AND CC0-1.0</w:t>
            </w:r>
          </w:p>
        </w:tc>
        <w:tc>
          <w:tcPr>
            <w:tcW w:type="dxa" w:w="26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JQuery UI 的 MIT + CC0 双授权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apidocs/resource-files/*.svg, *.css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UPL-1.0</w:t>
            </w:r>
          </w:p>
        </w:tc>
        <w:tc>
          <w:tcPr>
            <w:tcW w:type="dxa" w:w="260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Javadoc 生成器默认样式与图标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否</w:t>
            </w:r>
          </w:p>
        </w:tc>
      </w:tr>
    </w:tbl>
    <w:p>
      <w:pPr>
        <w:spacing w:after="0"/>
      </w:pP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关键判据有两条：其一，源码目录（cli-src）扫描结果中上述许可证命中数为 0，89 个源文件 100% 为 Apache-2.0；其二，apidocs 是构建产物，按 ASF 的发布惯例属于 “documentation artifacts”，其内嵌资源遵循各自原始许可证，并不改变 jar 包（commons-cli-1.11.0.jar）的许可状态。因此判定：Commons CLI 的可执行产物为纯 Apache-2.0，不存在许可证冲突。</w:t>
      </w: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4.3 许可证兼容性矩阵分析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以 Apache-2.0 为中心，对本次检出的各类许可证做兼容性判定：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8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许可证</w:t>
            </w:r>
          </w:p>
        </w:tc>
        <w:tc>
          <w:tcPr>
            <w:tcW w:type="dxa" w:w="170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类型</w:t>
            </w:r>
          </w:p>
        </w:tc>
        <w:tc>
          <w:tcPr>
            <w:tcW w:type="dxa" w:w="170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与 Apache-2.0 兼容</w:t>
            </w:r>
          </w:p>
        </w:tc>
        <w:tc>
          <w:tcPr>
            <w:tcW w:type="dxa" w:w="362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若并入闭源产品的处置要求</w:t>
            </w:r>
          </w:p>
        </w:tc>
      </w:tr>
      <w:tr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Apache-2.0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宽松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—（基准）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保留 LICENSE/NOTICE，标注修改</w:t>
            </w:r>
          </w:p>
        </w:tc>
      </w:tr>
      <w:tr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MIT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宽松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保留版权与许可声明</w:t>
            </w:r>
          </w:p>
        </w:tc>
      </w:tr>
      <w:tr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UPL-1.0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宽松（弱互惠）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保留声明；修改 UPL 文件需以 UPL 回馈</w:t>
            </w:r>
          </w:p>
        </w:tc>
      </w:tr>
      <w:tr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CC0-1.0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公有领域奉献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无附加义务</w:t>
            </w:r>
          </w:p>
        </w:tc>
      </w:tr>
      <w:tr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Public Domain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公有领域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无附加义务</w:t>
            </w:r>
          </w:p>
        </w:tc>
      </w:tr>
      <w:tr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Bitstream Vera / DejaVu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字体专用许可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保留字体版权声明，不得单独售卖字体</w:t>
            </w:r>
          </w:p>
        </w:tc>
      </w:tr>
      <w:tr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OpenJDK-assembly-exception-1.0</w:t>
            </w:r>
          </w:p>
        </w:tc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GPL-2.0 + 装配例外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有条件兼容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仅随文档分发，不参与编译链接，无传染</w:t>
            </w:r>
          </w:p>
        </w:tc>
      </w:tr>
      <w:tr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GPL-2.0-only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强 Copyleft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不兼容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若构成衍生作品则整体须 GPL-2.0 开源（本项目不适用）</w:t>
            </w:r>
          </w:p>
        </w:tc>
      </w:tr>
    </w:tbl>
    <w:p>
      <w:pPr>
        <w:spacing w:after="0"/>
      </w:pP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矩阵的核心结论：compatible 类许可证（MIT/UPL/CC0/公有领域）只要保留声明即可安全并入；GPL-2.0 虽然在理论上与 Apache-2.0 单向不兼容（Apache-2.0 含额外专利与 indemnity 条款，GPL-2.0 无法吸收），但在本项目中 GPL-2.0 仅以“独立文档 + 装配例外”形式存在，不构成衍生作品，故不触发传染。这一判定正是合规工作的价值所在——若只看 “GPL-2.0 命中 2 个文件” 的字面结论就下“许可证冲突”的判断，属于典型误报。</w:t>
      </w: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4.4 工具检测质量的评估与局限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（1）高置信度。核心结论（apache-2.0）由 1-hash 精确哈希与 2-aho 双重确认，匹配分 100.0，几乎不存在误判空间。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（2）存在少量“语义正确、归类偏宽”的结果。例如 NOTICE.txt 只有一句归属声明，却被判为 apache-2.0（95.0）；CONTRIBUTING.md 中的贡献者许可条款被判为 generic-cla，而 Generic-CLA 并非 SPDX 标准许可证，属于 ScanCode 的 LicenseRef 扩展；这是片段匹配（2-aho）在短文本上的固有局限，需要人工二次确认。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（3）ASSEMBLY_EXCEPTION 的匹配分为 90.2（3-seq 序列匹配器），低于其他文件的 100.0，原因是该文件含 HTML 链接与换行导致文本错位。这说明分数不应作为唯一判据，应结合 matched_text 与行号人工复核。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（4）ScanCode 不做依赖解析（未启用 --package 插件），无法给出 Maven 坐标级的 SBOM 传递依赖树。若需完整的 SCA 能力，应补充 cyclonedx 或启用 ScanCode 的 package 扫描获取 PURL。</w:t>
      </w:r>
    </w:p>
    <w:p>
      <w:pPr>
        <w:spacing w:before="100" w:after="40"/>
      </w:pPr>
      <w:r>
        <w:rPr>
          <w:rFonts w:ascii="Times New Roman" w:hAnsi="Times New Roman" w:eastAsia="黑体"/>
          <w:b/>
          <w:sz w:val="21"/>
        </w:rPr>
        <w:t>4.5 合规风险结论与整改建议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综合判定：Apache Commons CLI 1.11.0 的许可状况合规、风险可控，可安全用于商业闭源产品，无需开源自身代码。落地建议如下：</w:t>
      </w:r>
    </w:p>
    <w:p>
      <w:pPr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① 产品分发时完整保留 commons-cli 的 LICENSE.txt 与 NOTICE.txt，并在第三方声明文件（NOTICE / Third-Party Licenses）中列出 “Apache Commons CLI, Copyright 2002-2025 The Apache Software Foundation, Apache-2.0”；② 若对源码做过修改，须在修改文件中加入显著修改说明（Apache-2.0 §4(b)）；③ 不得在产品名称、宣传材料中使用 Apache 商标暗示官方背书（§6）；④ 若将 apidocs 一并再分发，须同时保留 apidocs/legal 下的 5 份第三方许可文件（MIT、UPL-1.0、CC0、Bitstream、OpenJDK 例外），否则构成对 JQuery 与字体的许可违约；⑤ 建议在 CI 中固化 “scancode -clieu --json-pp” 扫描并设阈值门禁，对新增的 GPL/AGPL 类命中自动告警，实现许可证风险的持续治理。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4"/>
        </w:rPr>
        <w:t>附：本次使用的命令与产出文件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3175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产出物</w:t>
            </w:r>
          </w:p>
        </w:tc>
        <w:tc>
          <w:tcPr>
            <w:tcW w:type="dxa" w:w="62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commons-cli-scan.json</w:t>
            </w:r>
          </w:p>
        </w:tc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发行包全量扫描的原始 JSON（含 matched_text 与行号，可追溯）</w:t>
            </w:r>
          </w:p>
        </w:tc>
      </w:tr>
      <w:tr>
        <w:tc>
          <w:tcPr>
            <w:tcW w:type="dxa" w:w="317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commons-cli-scan.html</w:t>
            </w:r>
          </w:p>
        </w:tc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ScanCode 自带 HTML 可视化报告</w:t>
            </w:r>
          </w:p>
        </w:tc>
      </w:tr>
      <w:tr>
        <w:tc>
          <w:tcPr>
            <w:tcW w:type="dxa" w:w="317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commons-cli-src-scan.json</w:t>
            </w:r>
          </w:p>
        </w:tc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源码包扫描的原始 JSON</w:t>
            </w:r>
          </w:p>
        </w:tc>
      </w:tr>
      <w:tr>
        <w:tc>
          <w:tcPr>
            <w:tcW w:type="dxa" w:w="317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scancode --version</w:t>
            </w:r>
          </w:p>
        </w:tc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ScanCode 32.5.0 / Output Format 4.1.0 / SPDX License List 3.27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60" w:before="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