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李君豪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F25011424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 w:eastAsia="仿宋_GB2312"/>
          <w:b/>
          <w:color w:val="000000"/>
          <w:sz w:val="32"/>
        </w:rPr>
        <w:t>1、选取的开源项目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1.1 项目概况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本次选取 Apache 软件基金会（ASF）旗下的 Apache Commons CLI，版本 1.11.0。该项目是 Apache Commons 组件库中的命令行参数解析组件，为 Java 应用提供 POSIX/GNU 风格选项解析、选项组互斥、参数类型转换等能力，是 Maven、Ant、Hadoop 等大量 Java 生态项目间接依赖的基础库。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项目属性</w:t>
            </w:r>
          </w:p>
        </w:tc>
        <w:tc>
          <w:tcPr>
            <w:tcW w:type="dxa" w:w="4153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项目全称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Commons CLI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所属社区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Software Foundation（Apache Commons 项目组）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官方网站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https://commons.apache.org/proper/commons-cli/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本次分析版本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1.11.0（2025 年发布，最新稳定版）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源码托管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https://gitbox.apache.org/repos/asf?p=commons-cli.git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许可证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License 2.0（由 LICENSE.txt 与 NOTICE.txt 声明）</w:t>
            </w:r>
          </w:p>
        </w:tc>
      </w:tr>
      <w:tr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扫描对象</w:t>
            </w:r>
          </w:p>
        </w:tc>
        <w:tc>
          <w:tcPr>
            <w:tcW w:type="dxa" w:w="415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commons-cli-1.11.0 发行包（177 个文件）+ 源码包（95 个文件）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1.2 选择该项目的理由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（1）许可模型清晰。整个项目以单一 Apache-2.0 许可证发布，属于业界最典型的“宽松型 + 专利授权 + 商标保留”许可样板，便于把工具输出与许可证条文逐条对照。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（2）体量适中、可复现。发行包仅 177 个文件，全量扫描 61 秒即可完成，既能覆盖 Java 源码、XML 配置、Markdown 文档、SVG/JS/CSS 静态资源、二进制 jar 等多种文件类型，又不会因规模过大导致报告冗长。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（3）具备真实的“合规陷阱”。该项目发行包内含 apidocs（Javadoc 生成的 API 文档），其中捆绑了 JQuery、OpenJDK 文档工具链、DejaVu 字体等第三方资产，使扫描结果出现 Apache-2.0 以外的 8 种许可证表达式，正好构成合规分析的落点，避免“全项目只有一种许可证、分析无话可说”的空洞报告。</w:t>
      </w:r>
    </w:p>
    <w:p>
      <w:pPr>
        <w:spacing w:before="120" w:after="120"/>
      </w:pPr>
      <w:r>
        <w:rPr>
          <w:rFonts w:ascii="Times New Roman" w:hAnsi="Times New Roman" w:eastAsia="仿宋_GB2312"/>
          <w:b/>
          <w:color w:val="000000"/>
          <w:sz w:val="32"/>
        </w:rPr>
        <w:t>2、许可证合规检测工具的安装过程及遇到的问题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2.1 工具选型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采用 ScanCode Toolkit 32.5.0。选型对比了业界常用的三款工具：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工具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检测能力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报告形式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ScanCode Toolkit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许可证+版权+依赖+包信息，SPDX 3.27 全库模板，支持 Aho-Corasick/hash/序列三种匹配器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JSON/HTML/SPDX/CSV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选用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FOSSology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许可证+版权，依赖服务端部署（PostgreSQL+Web UI）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Web 报表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部署成本高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Licensee.js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仅按文件名与少量特征识别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精度不足</w:t>
            </w:r>
          </w:p>
        </w:tc>
      </w:tr>
    </w:tbl>
    <w:p>
      <w:pPr>
        <w:spacing w:after="0"/>
      </w:pP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ScanCode 输出结构化 JSON（含每个匹配的 score、matcher、matched_text、行号区间），且内置 SPDX 官方许可证全文库，能够支撑“逐条比对条文”的深度分析，因此最终选定 ScanCode。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2.2 安装过程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环境：Windows 11 + Python 3.13.12。采用 pip 在独立虚拟环境中安装，避免污染系统环境：</w:t>
      </w:r>
    </w:p>
    <w:p>
      <w:pPr>
        <w:spacing w:line="240" w:lineRule="auto" w:after="40"/>
        <w:ind w:left="454"/>
      </w:pPr>
      <w:r>
        <w:rPr>
          <w:rFonts w:ascii="Consolas" w:hAnsi="Consolas" w:eastAsia="Consolas"/>
          <w:sz w:val="17"/>
        </w:rPr>
        <w:t>python -m venv C:\...\envs\hw</w:t>
        <w:br/>
        <w:t>python.exe -m pip install --index-url https://mirrors.aliyun.com/pypi/simple/ \</w:t>
        <w:br/>
        <w:t xml:space="preserve">        --trusted-host mirrors.aliyun.com scancode-toolkit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安装完成后校验版本，输出确认工具与许可证库均已就绪：</w:t>
      </w:r>
    </w:p>
    <w:p>
      <w:pPr>
        <w:spacing w:line="240" w:lineRule="auto" w:after="40"/>
        <w:ind w:left="454"/>
      </w:pPr>
      <w:r>
        <w:rPr>
          <w:rFonts w:ascii="Consolas" w:hAnsi="Consolas" w:eastAsia="Consolas"/>
          <w:sz w:val="17"/>
        </w:rPr>
        <w:t>$ scancode --version</w:t>
        <w:br/>
        <w:t>ScanCode version: 32.5.0</w:t>
        <w:br/>
        <w:t>ScanCode Output Format version: 4.1.0</w:t>
        <w:br/>
        <w:t>SPDX License list version: 3.27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2.3 遇到的问题及解决办法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问题现象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原因定位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解决办法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pip 停在 Downloading scancode_toolkit-32.5.0-...whl (126.2 MB) 超时失败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环境代理对 pypi.org 元数据放行，但对 files.pythonhosted.org 文件流返回 0 字节（curl 实测 speed=0）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unset 全部代理变量并改用国内镜像源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切换镜像后仍极慢（约 30 KB/s）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单连接限速且连接易被中断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自写多线程分段下载器（8 线程 × 4MB Range 分片、断点续传），速度提升到约 850 KB/s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scancode 报 ValueError: did not find any 'pre_scan' hooks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pip 解析到 pluggy 1.7.0，其 add_hookspecs 行为变更与 plugincode 32.0.0 不兼容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降级为 pluggy&lt;1.6（1.5.x）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output file parent is not a directory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ScanCode 不自动创建输出目录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预先创建 output/ 目录后重跑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含 C 扩展的包在 Python 3.13 下触发本地编译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无预编译 wheel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加 --prefer-binary 优先选用预编译 wheel</w:t>
            </w:r>
          </w:p>
        </w:tc>
      </w:tr>
    </w:tbl>
    <w:p>
      <w:pPr>
        <w:spacing w:after="0"/>
      </w:pP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经验小结：在受限网络环境中，ScanCode 安装的最大障碍不是工具本身而是大体积 wheel 的传输。建议优先使用官方预编译的 standalone 发行包，或以“先镜像下载 wheel 到本地、再 pip --find-links 离线安装”的方式，可显著提升成功率。</w:t>
      </w:r>
    </w:p>
    <w:p>
      <w:pPr>
        <w:spacing w:before="120" w:after="120"/>
      </w:pPr>
      <w:r>
        <w:rPr>
          <w:rFonts w:ascii="Times New Roman" w:hAnsi="Times New Roman" w:eastAsia="仿宋_GB2312"/>
          <w:b/>
          <w:color w:val="000000"/>
          <w:sz w:val="32"/>
        </w:rPr>
        <w:t>3、工具输出的检测报告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3.1 扫描命令与执行情况</w:t>
      </w:r>
    </w:p>
    <w:p>
      <w:pPr>
        <w:spacing w:line="240" w:lineRule="auto" w:after="40"/>
        <w:ind w:left="454"/>
      </w:pPr>
      <w:r>
        <w:rPr>
          <w:rFonts w:ascii="Consolas" w:hAnsi="Consolas" w:eastAsia="Consolas"/>
          <w:sz w:val="17"/>
        </w:rPr>
        <w:t>scancode -clieu --license-text --classify --json-pp output/commons-cli-scan.json \</w:t>
        <w:br/>
        <w:t xml:space="preserve">         commons-cli-1.11.0 -n 4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其中 -c 版权、-l 许可证、-i 文件信息、-e 邮箱、-u URL、--classify 文件分类、-n 4 使用 4 进程并行。两次扫描的执行情况如下：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扫描对象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文件总数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扫描耗时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命中许可证的文件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8"/>
              </w:rPr>
              <w:t>识别出的许可证表达式</w:t>
            </w:r>
          </w:p>
        </w:tc>
      </w:tr>
      <w:tr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binary 发行包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177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61.13 s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 种</w:t>
            </w:r>
          </w:p>
        </w:tc>
      </w:tr>
      <w:tr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sources jar 源码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30.38 s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6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种（apache-2.0）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3.2 发行包扫描结果总览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ScanCode 对发行包识别出如下许可证分布（按命中文件数排序）：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许可证表达式（SPDX）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命中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最高分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涉及内容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Apache-2.0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LICENSE.txt、NOTICE.txt、README、CONTRIBUTING 及文档源码页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UPL-1.0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 下 Javadoc 生成器的样式表、脚本、图标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MIT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jquery-3.7.1.min.js、jquery-ui.min.js/css、legal/jquery.md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Generic-CLA AND Apache-2.0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CONTRIBUTING.md、README.md（贡献者许可声明）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GPL-2.0 WITH Classpath-exception-2.0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apidocs/legal/ADDITIONAL_LICENSE_INFO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GPL-2.0 WITH Oracle-OpenJDK-Classpath-exception-2.0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apidocs/legal/LICENSE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OpenJDK-assembly-exception-1.0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90.2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apidocs/legal/ASSEMBLY_EXCEPTION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MIT AND CC0-1.0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apidocs/legal/jqueryUI.md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Bitstream/公共领域/AMS-Fonts 组合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apidocs/legal/dejavufonts.md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3.3 版权与文件类型分布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版权声明共提取到 14 类持有人，其中 “The Apache Software Foundation” 出现 98 次占绝对主导；其余为 “Oracle and/or its affiliates”（7 次，来自 OpenJDK 文档工具链）、“Bitstream, Inc.” 与 “Tavmjong Bah”（DejaVu 字体）、“OpenJS Foundation”（JQuery）、“American Mathematical Society”（AMS 字体）等第三方权利人。177 个文件涵盖 Java/HTML/XML/JSON/JavaScript/CSS/SVG/Markdown/PNG/JAR 等 10 余种类型，说明 ScanCode 的文件分类器能正确区分源码、文档、静态资源与二进制产物。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3.4 源码级扫描结果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对 sources jar（87 个 .java + 8 个资源文件）单独扫描：89 个源文件中 88 个带有标准 Apache-2.0 文件头（匹配分 100.0，2-aho 匹配器），未检出任何 Copyleft 许可证；仅 MANIFEST.MF、pom.properties、logo.png 三个非代码文件无许可证声明（属正常情形）。源码中 91 次出现 https://www.apache.org/licenses/LICENSE-2.0 声明 URL。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匹配器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工作原理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本次命中场景</w:t>
            </w:r>
          </w:p>
        </w:tc>
      </w:tr>
      <w:tr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1-hash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对完整许可证文本做 SHA1 精确哈希比对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LICENSE.txt、ADDITIONAL_LICENSE_INFO 等完整原文</w:t>
            </w:r>
          </w:p>
        </w:tc>
      </w:tr>
      <w:tr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2-aho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Aho-Corasick 多模式串自动机，检测片段化、改写过的许可证声明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88 个 Java 文件头、NOTICE、SVG/JS/CSS 中的授权声明</w:t>
            </w:r>
          </w:p>
        </w:tc>
      </w:tr>
      <w:tr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3-seq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序列匹配（近似字符串对齐），容忍插入/删改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Javadoc HTML 中被 HTML 标签打断的许可证文本、ASSEMBLY_EXCEPTION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rPr>
          <w:rFonts w:ascii="Times New Roman" w:hAnsi="Times New Roman" w:eastAsia="仿宋_GB2312"/>
          <w:b/>
          <w:color w:val="000000"/>
          <w:sz w:val="32"/>
        </w:rPr>
        <w:t>4、针对工具输出报告的详细分析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4.1 Apache-2.0 主许可证的合规判定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LICENSE.txt 被 1-hash 匹配器以 100.0 分命中 apache-2.0，说明其为 Apache License 2.0 未经改动的完整原文；NOTICE.txt 以 95.0 分命中，内容为 “This product includes software developed at The Apache Software Foundation”。二者构成 Apache-2.0 第 4 条（Redistribution）要求的完整分发要件。据此判定：4(a) 随附许可证副本——满足（LICENSE.txt 在包根目录）；4(b) 修改文件需标注——本项目为原样分发无修改，不适用；4(c) 保留全部版权、专利、商标与归属声明——满足（98 处 ASF 版权声明完整保留）；4(d) 若含 NOTICE 文件则须随发行物一并提供——满足（NOTICE.txt 随包分发）。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此外，Apache-2.0 第 3 条授予使用者永久、全球、免费的专利许可，并在末段设置专利报复条款（若使用者就本作品提起专利诉讼，其获得的专利授权即终止）；第 6 条明确不授予商标使用权。因此下游产品可以使用、修改、闭源再分发 Commons CLI，但不得使用 “Apache”“Commons CLI” 等 ASF 商标为自身产品背书。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4.2 发行包中第三方许可证的识别与边界划分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扫描结果中最值得关注的现象是：发行包里出现了 GPL-2.0、OpenJDK、Bitstream、UPL-1.0 等看似与 Apache-2.0 冲突的许可证。逐路径核对后确认，这些许可证全部落在 apidocs/ 目录内，且均为 Javadoc 文档生成工具链与前端资源自带：apidocs/legal/LICENSE 为 GPL-2.0 WITH Oracle-OpenJDK-Classpath-exception-2.0（JDK 许可证副本）；ADDITIONAL_LICENSE_INFO 为 Oracle 对 JDK 部分文件的附加许可说明；ASSEMBLY_EXCEPTION（90.2 分）为 GPL-2.0 + 装配例外，允许链接而不传染；dejavufonts.md 为 DejaVu 字体（Bitstream Vera 派生 + 公有领域）；jquery.md 与 jqueryUI.md 为 JQuery 的 MIT 及 MIT+CC0 双授权；resource-files 下的样式与图标为 UPL-1.0。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关键判据有两条：其一，源码目录扫描结果中上述许可证命中数为 0，89 个源文件 100% 为 Apache-2.0；其二，apidocs 是构建产物，按 ASF 的发布惯例属于 documentation artifacts，其内嵌资源遵循各自原始许可证，并不改变 jar 包的许可状态。因此判定：Commons CLI 的可执行产物为纯 Apache-2.0，不存在许可证冲突。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4.3 许可证兼容性矩阵分析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许可证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与 Apache-2.0 兼容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000000"/>
                <w:sz w:val="17"/>
              </w:rPr>
              <w:t>处置要求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Apache-2.0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宽松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—（基准）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保留 LICENSE/NOTICE，标注修改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MIT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宽松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保留版权与许可声明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UPL-1.0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宽松（弱互惠）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保留声明；修改 UPL 文件需以 UPL 回馈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CC0-1.0 / 公有领域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公有领域奉献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无附加义务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Bitstream Vera / DejaVu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字体专用许可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保留字体版权声明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OpenJDK-assembly-exception-1.0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GPL-2.0+装配例外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有条件兼容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仅随文档分发，不参与编译链接，无传染</w:t>
            </w:r>
          </w:p>
        </w:tc>
      </w:tr>
      <w:tr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GPL-2.0-only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强 Copyleft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不兼容</w:t>
            </w:r>
          </w:p>
        </w:tc>
        <w:tc>
          <w:tcPr>
            <w:tcW w:type="dxa" w:w="20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若构成衍生作品则整体须 GPL-2.0 开源（本项目不适用）</w:t>
            </w:r>
          </w:p>
        </w:tc>
      </w:tr>
    </w:tbl>
    <w:p>
      <w:pPr>
        <w:spacing w:after="0"/>
      </w:pP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矩阵的核心结论：MIT/UPL/CC0/公有领域类许可证只要保留声明即可安全并入；GPL-2.0 虽在理论上与 Apache-2.0 单向不兼容（Apache-2.0 含额外专利与赔偿条款，GPL-2.0 无法吸收），但在本项目中 GPL-2.0 仅以“独立文档 + 装配例外”形式存在，不构成衍生作品，故不触发传染。这一判定正是合规工作的价值所在——若只看“GPL-2.0 命中 2 个文件”的字面结论就下“许可证冲突”的判断，属于典型误报。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4.4 工具检测质量的评估与局限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（1）高置信度：核心结论（apache-2.0）由 1-hash 精确哈希与 2-aho 双重确认，匹配分 100.0。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（2）存在少量“语义正确、归类偏宽”的结果：如 NOTICE.txt 只有一句归属声明却被判为 apache-2.0（95.0）；CONTRIBUTING.md 中的贡献者许可条款被判为 generic-cla（ScanCode 的 LicenseRef 扩展，非 SPDX 标准许可证）。这是片段匹配在短文本上的固有局限，需人工二次确认。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（3）ASSEMBLY_EXCEPTION 匹配分为 90.2（3-seq），低于其他文件的 100.0，原因是文件含 HTML 链接与换行导致文本错位，说明分数不应作为唯一判据，应结合 matched_text 与行号人工复核。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（4）ScanCode 默认不做依赖解析，无法给出 Maven 坐标级的 SBOM 传递依赖树；若需完整 SCA 能力，应补充 package 扫描获取 PURL。</w:t>
      </w:r>
    </w:p>
    <w:p>
      <w:pPr>
        <w:spacing w:before="60" w:after="60"/>
      </w:pPr>
      <w:r>
        <w:rPr>
          <w:rFonts w:ascii="Times New Roman" w:hAnsi="Times New Roman" w:eastAsia="仿宋_GB2312"/>
          <w:b/>
          <w:color w:val="000000"/>
          <w:sz w:val="24"/>
        </w:rPr>
        <w:t>4.5 合规风险结论与整改建议</w:t>
      </w:r>
    </w:p>
    <w:p>
      <w:pPr>
        <w:spacing w:line="300" w:lineRule="auto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综合判定：Apache Commons CLI 1.11.0 的许可状况合规、风险可控，可安全用于商业闭源产品，无需开源自身代码。落地建议：① 产品分发时完整保留 LICENSE.txt 与 NOTICE.txt，并在第三方声明文件中列出 “Apache Commons CLI, Copyright 2002-2025 The Apache Software Foundation, Apache-2.0”；② 若对源码做过修改，须在修改文件中加入显著修改说明（Apache-2.0 §4(b)）；③ 不得在产品名称、宣传材料中使用 Apache 商标暗示官方背书（§6）；④ 若将 apidocs 一并再分发，须同时保留 apidocs/legal 下的 5 份第三方许可文件，否则构成对 JQuery 与字体的许可违约；⑤ 建议在 CI 中固化 “scancode -clieu --json-pp” 扫描并设阈值门禁，对新增 GPL/AGPL 类命中自动告警。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