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0"/>
      </w:pPr>
      <w:r>
        <w:t xml:space="preserve">Computational Pipeline for</w:t>
      </w:r>
    </w:p>
    <w:p>
      <w:pPr>
        <w:pStyle w:val="Title"/>
      </w:pPr>
      <w:r>
        <w:t xml:space="preserve">Novel Psychedelic Discovery</w:t>
      </w:r>
    </w:p>
    <w:p>
      <w:pPr>
        <w:spacing w:after="140" w:line="276"/>
      </w:pPr>
      <w:r>
        <w:rPr>
          <w:i/>
          <w:iCs/>
        </w:rPr>
        <w:t xml:space="preserve">A reference for evaluating AI tools and structuring a discovery workflow — written for a non-physician researcher with intermediate Python and beginner DevOps familiarity.</w:t>
      </w:r>
    </w:p>
    <w:p>
      <w:pPr>
        <w:pBdr>
          <w:bottom w:val="single" w:color="2E5A88" w:sz="6" w:space="1"/>
        </w:pBdr>
        <w:spacing w:after="120"/>
      </w:pPr>
    </w:p>
    <w:p>
      <w:pPr>
        <w:spacing w:after="140" w:line="276"/>
      </w:pPr>
      <w:r>
        <w:rPr>
          <w:b/>
          <w:bCs/>
        </w:rPr>
        <w:t xml:space="preserve">Prepared by: </w:t>
      </w:r>
      <w:r>
        <w:t xml:space="preserve">Claude (Anthropic)</w:t>
      </w:r>
    </w:p>
    <w:p>
      <w:pPr>
        <w:spacing w:after="140" w:line="276"/>
      </w:pPr>
      <w:r>
        <w:rPr>
          <w:b/>
          <w:bCs/>
        </w:rPr>
        <w:t xml:space="preserve">Document date: </w:t>
      </w:r>
      <w:r>
        <w:t xml:space="preserve">19 June 2026</w:t>
      </w:r>
    </w:p>
    <w:p>
      <w:pPr>
        <w:spacing w:after="140" w:line="276"/>
      </w:pPr>
      <w:r>
        <w:rPr>
          <w:b/>
          <w:bCs/>
        </w:rPr>
        <w:t xml:space="preserve">Scope: </w:t>
      </w:r>
      <w:r>
        <w:t xml:space="preserve">Conceptual pipeline map, stage-by-stage state of the science, and a dated snapshot of the most promising accessible open-source tools. This document is for research-strategy literacy. It contains no synthesis chemistry and no instructions for producing controlled substances.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How to read this document</w:t>
      </w:r>
    </w:p>
    <w:p>
      <w:pPr>
        <w:spacing w:after="140" w:line="276"/>
      </w:pPr>
      <w:r>
        <w:t xml:space="preserve">The central organizing idea is a </w:t>
      </w:r>
      <w:r>
        <w:rPr>
          <w:b/>
          <w:bCs/>
        </w:rPr>
        <w:t xml:space="preserve">seven-stage pipeline</w:t>
      </w:r>
      <w:r>
        <w:t xml:space="preserve"> that runs from a protein target to a human experience. The single most useful mental model is this: </w:t>
      </w:r>
      <w:r>
        <w:rPr>
          <w:b/>
          <w:bCs/>
        </w:rPr>
        <w:t xml:space="preserve">prediction confidence is high at the bottom of the causal chain (structure, binding) and collapses as you move up toward function, signaling bias, and subjective experience.</w:t>
      </w:r>
    </w:p>
    <w:p>
      <w:pPr>
        <w:spacing w:after="140" w:line="276"/>
      </w:pPr>
      <w:r>
        <w:t xml:space="preserve">When you encounter a new model or paper, locate it on the pipeline and ask four diagnostic questions: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Which stage does it address?</w:t>
      </w:r>
      <w:r>
        <w:t xml:space="preserve"> Structure and binding are largely solved; function, bias, and selectivity are the real frontiers.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Does it report out-of-distribution performance?</w:t>
      </w:r>
      <w:r>
        <w:t xml:space="preserve"> Performance on compounds </w:t>
      </w:r>
      <w:r>
        <w:rPr>
          <w:i/>
          <w:iCs/>
        </w:rPr>
        <w:t xml:space="preserve">dissimilar</w:t>
      </w:r>
      <w:r>
        <w:t xml:space="preserve"> to training data is the only number that matters for genuinely novel discovery. Vendors prefer to report easy in-distribution cases.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Does it predict function/bias, or only structure/affinity?</w:t>
      </w:r>
      <w:r>
        <w:t xml:space="preserve"> The former fills a gap; the latter is incremental.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Is the benchmark independent and held-out?</w:t>
      </w:r>
      <w:r>
        <w:t xml:space="preserve"> Look for community benchmarks (PoseBusters, Runs N’ Poses, DockGen) rather than self-reported metrics.</w:t>
      </w:r>
    </w:p>
    <w:p>
      <w:pPr>
        <w:spacing w:after="140" w:line="276"/>
      </w:pPr>
      <w:r>
        <w:rPr>
          <w:b/>
          <w:bCs/>
        </w:rPr>
        <w:t xml:space="preserve">A framing note carried over from our discussion: </w:t>
      </w:r>
      <w:r>
        <w:t xml:space="preserve">“novel therapeutic candidate” and “better-characterized, lower-toxicity compound” are coherent, fundable research targets with defined endpoints. A “more fulfilling recreational experience” is not something current science can measure or optimize toward, and would sit outside any research-ethics framework. This document is built around the tractable version of the goal: a novel compound with a well-predicted mechanism, a favorable predicted safety margin, and a plausible therapeutic hypothesis.</w:t>
      </w:r>
    </w:p>
    <w:p>
      <w:pPr>
        <w:pStyle w:val="Heading1"/>
      </w:pPr>
      <w:r>
        <w:t xml:space="preserve">2. Receptor pharmacology primer</w:t>
      </w:r>
    </w:p>
    <w:p>
      <w:pPr>
        <w:spacing w:after="140" w:line="276"/>
      </w:pPr>
      <w:r>
        <w:t xml:space="preserve">Classic serotonergic psychedelics (LSD, mescaline, psilocin, DMT) act as agonists at the </w:t>
      </w:r>
      <w:r>
        <w:rPr>
          <w:b/>
          <w:bCs/>
        </w:rPr>
        <w:t xml:space="preserve">serotonin 5-HT2A receptor</w:t>
      </w:r>
      <w:r>
        <w:t xml:space="preserve">, a Class A G-protein-coupled receptor (GPCR). 5-HT2A activation is necessary for the characteristic effects; blocking it with a selective antagonist abolishes the experience in humans. MDMA is mechanistically distinct — primarily a monoamine releaser acting at transporters (SERT), not chiefly a direct 5-HT2A agonist — and should be modeled separately.</w:t>
      </w:r>
    </w:p>
    <w:p>
      <w:pPr>
        <w:pStyle w:val="Heading3"/>
      </w:pPr>
      <w:r>
        <w:t xml:space="preserve">Key concepts the tools operate 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Agonist vs. antagonist vs. partial agonist: </w:t>
      </w:r>
      <w:r>
        <w:t xml:space="preserve">binding (occupancy) is distinct from efficacy (activation). Two molecules can dock identically yet have opposite functional effects.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Signaling bias (functional selectivity): </w:t>
      </w:r>
      <w:r>
        <w:t xml:space="preserve">the same receptor couples to multiple pathways (G-protein/Gq vs. β-arrestin). The leading hypothesis for separating therapeutic from hallucinogenic effects is that one can bias toward a pathway. This is the field’s central open question and its hardest prediction problem.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Polypharmacology: </w:t>
      </w:r>
      <w:r>
        <w:t xml:space="preserve">the experiential </w:t>
      </w:r>
      <w:r>
        <w:rPr>
          <w:i/>
          <w:iCs/>
        </w:rPr>
        <w:t xml:space="preserve">character</w:t>
      </w:r>
      <w:r>
        <w:t xml:space="preserve"> of a compound is shaped by its full off-target fingerprint (5-HT1A, 5-HT2C, dopamine D2, and others). LSD’s long, distinctive profile owes partly to its receptor cocktail and unusually slow binding kinetics.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Safety liabilities: </w:t>
      </w:r>
      <w:r>
        <w:t xml:space="preserve">5-HT2B agonism (cardiac valvulopathy) and hERG channel block (arrhythmia) are the canonical off-targets any serotonergic agonist program must screen against early.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ADMET / BBB penetrance: </w:t>
      </w:r>
      <w:r>
        <w:t xml:space="preserve">absorption, distribution, metabolism, excretion, toxicity, and whether the compound crosses the blood-brain barrier at all.</w:t>
      </w:r>
    </w:p>
    <w:p>
      <w:pPr>
        <w:pStyle w:val="Heading1"/>
      </w:pPr>
      <w:r>
        <w:t xml:space="preserve">3. The seven-stage discovery pipeline</w:t>
      </w:r>
    </w:p>
    <w:p>
      <w:pPr>
        <w:spacing w:after="140" w:line="276"/>
      </w:pPr>
      <w:r>
        <w:t xml:space="preserve">Each stage below carries a maturity rating: </w:t>
      </w:r>
      <w:r>
        <w:rPr>
          <w:b/>
          <w:bCs/>
        </w:rPr>
        <w:t xml:space="preserve">Mature</w:t>
      </w:r>
      <w:r>
        <w:t xml:space="preserve"> (reliable, well-tooled), </w:t>
      </w:r>
      <w:r>
        <w:rPr>
          <w:b/>
          <w:bCs/>
        </w:rPr>
        <w:t xml:space="preserve">Frontier</w:t>
      </w:r>
      <w:r>
        <w:t xml:space="preserve"> (active research, use with caution), or </w:t>
      </w:r>
      <w:r>
        <w:rPr>
          <w:b/>
          <w:bCs/>
        </w:rPr>
        <w:t xml:space="preserve">Wall</w:t>
      </w:r>
      <w:r>
        <w:t xml:space="preserve"> (no computational substitute exists).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1500"/>
        <w:gridCol w:w="25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What it answers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Maturity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Watch for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1. Target structure &amp; states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What does 5-HT2A look like, in which conformations?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Mature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Multi-state / ensemble prediction, not single static shapes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2. Binding (pose + affinity)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Does a ligand dock, and how tightly?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Mostly mature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Out-of-distribution affinity; affinity magnitude is weaker than pose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3. Functional efficacy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Agonist, antagonist, or partial?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7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Frontier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Any model predicting efficacy, not just binding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 Signaling bias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Gq vs. β-arrestin — therapeutic vs. hallucinogenic lever?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5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Frontier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Credible structure-to-bias prediction = field-changing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5. Selectivity / off-targets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Full affinity fingerprint; 5-HT2B, hERG safety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7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Mixed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Broad selectivity panels vs. single-target only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6. ADMET / PK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Drug-like properties, BBB penetrance, toxicity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Mature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Necessary but rarely the bottleneck for “interesting”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7. Subjective experience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What does it feel like? Therapeutic phenomenology?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Wall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 computational or animal proxy. Be skeptical of any claim here</w:t>
            </w:r>
          </w:p>
        </w:tc>
      </w:tr>
    </w:tbl>
    <w:p>
      <w:pPr>
        <w:spacing w:after="140" w:line="276"/>
      </w:pPr>
      <w:r>
        <w:t xml:space="preserve"/>
      </w:r>
    </w:p>
    <w:p>
      <w:pPr>
        <w:pStyle w:val="Heading3"/>
      </w:pPr>
      <w:r>
        <w:t xml:space="preserve">Reading the gradient</w:t>
      </w:r>
    </w:p>
    <w:p>
      <w:pPr>
        <w:spacing w:after="140" w:line="276"/>
      </w:pPr>
      <w:r>
        <w:t xml:space="preserve">A development that credibly advances </w:t>
      </w:r>
      <w:r>
        <w:rPr>
          <w:b/>
          <w:bCs/>
        </w:rPr>
        <w:t xml:space="preserve">Stage 3, 4, or 5 on out-of-distribution compounds</w:t>
      </w:r>
      <w:r>
        <w:t xml:space="preserve"> is genuinely pipeline-changing. One that improves Stages 1, 2, or 6 is useful but incremental. Nothing advances Stage 7 — the head-twitch response in rodents correlates with 5-HT2A agonism but is not the experience, and subjective effects remain a human-clinical endpoint.</w:t>
      </w:r>
    </w:p>
    <w:p>
      <w:r>
        <w:br w:type="page"/>
      </w:r>
    </w:p>
    <w:p>
      <w:pPr>
        <w:pStyle w:val="Heading1"/>
      </w:pPr>
      <w:r>
        <w:t xml:space="preserve">4. Open-source tool landscape — snapshot as of 19 June 2026</w:t>
      </w:r>
    </w:p>
    <w:p>
      <w:pPr>
        <w:spacing w:after="140" w:line="276"/>
      </w:pPr>
      <w:r>
        <w:rPr>
          <w:i/>
          <w:iCs/>
        </w:rPr>
        <w:t xml:space="preserve">This section is explicitly date-stamped because it ages fastest. Treat anything here as needing re-verification after roughly six months. Inclusion criteria: open license, active maintenance, and accessibility to a small team with one or a few GPUs.</w:t>
      </w:r>
    </w:p>
    <w:p>
      <w:pPr>
        <w:pStyle w:val="Heading2"/>
      </w:pPr>
      <w:r>
        <w:t xml:space="preserve">4.1 Stage 1–2: Structure &amp; co-folding (structure + affinity)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57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License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What it does / why it matters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Boltz-2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MIT (open)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standout for this pipeline. First open co-folding model to jointly predict complex structure AND small-molecule binding affinity from sequence + SMILES; reportedly approaches FEP accuracy at ~1000× the speed. Weights, inference, and training code released. Note: the newer hosted “Boltz 2.1” is closed; the open package remains fully usable.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OpenFold-3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Apache-2.0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Open, near-bitwise reproduction of AlphaFold 3 aiming for parity across modalities including protein-ligand cofolding. Use when you want AF3-equivalent structures without proprietary access.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Chai-1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Open (Apache-style)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AF3-class cofolding model; widely benchmarked. A solid cross-check against Boltz/OpenFold for structure prediction.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Protenix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Open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Another AF3 reproduction; useful as a third structural opinion in an ensemble approach.</w:t>
            </w:r>
          </w:p>
        </w:tc>
      </w:tr>
    </w:tbl>
    <w:p>
      <w:pPr>
        <w:pStyle w:val="Heading2"/>
      </w:pPr>
      <w:r>
        <w:t xml:space="preserve">4.2 Stage 2: Docking &amp; pose prediction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57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License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What it does / why it matters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AutoDock Vina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Apache-2.0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reliable classical workhorse. Fast, physics/empirical scoring, ideal for large virtual screens and for learning docking fundamentals before touching ML methods.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Gnina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Open (GPL)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CNN-rescored docking built on the Smina/Vina lineage; a strong, practical middle ground between classical and deep-learning docking.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DiffDock-L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Open (MIT)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Diffusion-based blind docking — predicts pose without a pre-specified pocket. Powerful but watch generalization to truly novel scaffolds; validate poses with PoseBusters.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OpenDock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Open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PyTorch framework unifying multiple sampling/scoring strategies; good for methodical comparison of docking approaches.</w:t>
            </w:r>
          </w:p>
        </w:tc>
      </w:tr>
    </w:tbl>
    <w:p>
      <w:pPr>
        <w:pStyle w:val="Heading2"/>
      </w:pPr>
      <w:r>
        <w:t xml:space="preserve">4.3 Stage 2/5: Pocket &amp; site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57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License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What it does / why it matters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P2Rank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Open (MIT)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Fast ML-based ligand binding-site prediction from structure. The standard first step before blind docking.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fpocket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Open (MIT/GPL)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Classic geometry-based pocket detection; lightweight and interpretable. Pair with P2Rank for consensus.</w:t>
            </w:r>
          </w:p>
        </w:tc>
      </w:tr>
    </w:tbl>
    <w:p>
      <w:pPr>
        <w:pStyle w:val="Heading2"/>
      </w:pPr>
      <w:r>
        <w:t xml:space="preserve">4.4 Stage 3–4: Generative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57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License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What it does / why it matters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REINVENT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Apache-2.0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most mature open generative framework (maintained by AstraZeneca's Molecular AI). Supports de novo generation, scaffold decoration, linker design, R-group and molecule optimization, with reinforcement/curriculum learning and a pluggable scoring system — you can plug docking or affinity scores in as the reward. Excellent for learning how generative + scoring loops work. Caveat: SMILES-based, and training-data bias constrains the explorable space.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Structure-based diffusion (e.g. SGEDiff, TopMT-GAN)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Open (varies)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3D, pocket-conditioned generation — propose molecules shaped to a specific binding site. Newer and less battle-tested than REINVENT; treat as experimental.</w:t>
            </w:r>
          </w:p>
        </w:tc>
      </w:tr>
    </w:tbl>
    <w:p>
      <w:pPr>
        <w:pStyle w:val="Heading2"/>
      </w:pPr>
      <w:r>
        <w:t xml:space="preserve">4.5 Stage 5–6: Properties, ADMET, cheminformatics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57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License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What it does / why it matters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RDKit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BSD (open)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foundational cheminformatics library. SMILES parsing, descriptors, fingerprints, similarity, 2D depiction. You will use this in essentially every notebook.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ADMET-AI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Open (MIT)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Fast graph-neural-network ADMET prediction across many endpoints (incl. hERG, BBB). Pairs naturally with REINVENT as a scoring component (see the ADMETrix pattern).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DeepChem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MIT (open)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Broad ML-for-chemistry toolkit; useful for building custom property/efficacy models and for learning the data-handling patterns of the field.</w:t>
            </w:r>
          </w:p>
        </w:tc>
      </w:tr>
    </w:tbl>
    <w:p>
      <w:pPr>
        <w:pStyle w:val="Heading3"/>
      </w:pPr>
      <w:r>
        <w:t xml:space="preserve">Reality checks to keep pinned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False-positive rates are real: </w:t>
      </w:r>
      <w:r>
        <w:t xml:space="preserve">even strong affinity models flag a substantial fraction of false “hits.” Computational triage narrows the list; it does not confirm.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Affinity ≠ efficacy ≠ bias: </w:t>
      </w:r>
      <w:r>
        <w:t xml:space="preserve">no open tool reliably predicts agonism or signaling bias from structure as of this date. This is the gap to watch.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Out-of-distribution is the whole game: </w:t>
      </w:r>
      <w:r>
        <w:t xml:space="preserve">the value of these tools for novel psychedelics lies precisely where their benchmarks are weakest.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Stage 7 stays human: </w:t>
      </w:r>
      <w:r>
        <w:t xml:space="preserve">no tool in this list predicts subjective experience, and none will soon.</w:t>
      </w:r>
    </w:p>
    <w:p>
      <w:r>
        <w:br w:type="page"/>
      </w:r>
    </w:p>
    <w:p>
      <w:pPr>
        <w:pStyle w:val="Heading1"/>
      </w:pPr>
      <w:r>
        <w:t xml:space="preserve">5. What a strong candidate profile would look like</w:t>
      </w:r>
    </w:p>
    <w:p>
      <w:pPr>
        <w:spacing w:after="140" w:line="276"/>
      </w:pPr>
      <w:r>
        <w:t xml:space="preserve">If your eventual goal is to recognize a compound worth initial research attention, a defensible computational profile — in descending order of how much each prediction can be trusted — would show: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CNS-active serotonergic psychoactivity (high confidence): </w:t>
      </w:r>
      <w:r>
        <w:t xml:space="preserve">predicted 5-HT2A binding + agonism + BBB penetrance.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Class placement (moderate confidence): </w:t>
      </w:r>
      <w:r>
        <w:t xml:space="preserve">affinity fingerprint consistent with a known chemotype family, distinguishing psychedelic-like from empathogen/dissociative profiles.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Favorable safety margin (moderate, and the most decision-relevant): </w:t>
      </w:r>
      <w:r>
        <w:t xml:space="preserve">predicted selectivity AGAINST 5-HT2B and hERG; clean ADMET flags.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Therapeutic hypothesis (low confidence, frontier): </w:t>
      </w:r>
      <w:r>
        <w:t xml:space="preserve">any predicted signaling-bias signal toward a non-hallucinogenic / plasticity-promoting profile — treat as a hypothesis to test, never a conclusion.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Subjective character (no computational confidence): </w:t>
      </w:r>
      <w:r>
        <w:t xml:space="preserve">inferred only loosely from kinetics and off-target panel; requires the human-clinical ladder.</w:t>
      </w:r>
    </w:p>
    <w:p>
      <w:pPr>
        <w:spacing w:after="140" w:line="276"/>
      </w:pPr>
      <w:r>
        <w:rPr>
          <w:b/>
          <w:bCs/>
        </w:rPr>
        <w:t xml:space="preserve">The honest bottom line: </w:t>
      </w:r>
      <w:r>
        <w:t xml:space="preserve">these tools </w:t>
      </w:r>
      <w:r>
        <w:rPr>
          <w:i/>
          <w:iCs/>
        </w:rPr>
        <w:t xml:space="preserve">narrow and prioritize</w:t>
      </w:r>
      <w:r>
        <w:t xml:space="preserve"> — turning an intractable candidate space into a ranked shortlist worth functional testing. They do not </w:t>
      </w:r>
      <w:r>
        <w:rPr>
          <w:i/>
          <w:iCs/>
        </w:rPr>
        <w:t xml:space="preserve">substitute</w:t>
      </w:r>
      <w:r>
        <w:t xml:space="preserve"> for the assay → animal → human ladder, least of all for the experiential endpoint.</w:t>
      </w:r>
    </w:p>
    <w:p>
      <w:pPr>
        <w:pStyle w:val="Heading1"/>
      </w:pPr>
      <w:r>
        <w:t xml:space="preserve">6. Primary sources worth tracking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Bryan Roth lab (UNC): </w:t>
      </w:r>
      <w:r>
        <w:t xml:space="preserve">foundational 5-HT2A structural biology and designer-compound work; the PDSP database of receptor binding data.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David Olson lab (UC Davis): </w:t>
      </w:r>
      <w:r>
        <w:t xml:space="preserve">“psychoplastogens” — the therapeutic-without-hallucination thesis, central to the Stage 4 question.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Community benchmarks: </w:t>
      </w:r>
      <w:r>
        <w:t xml:space="preserve">PoseBusters (physical validity of poses), Runs N’ Poses and DockGen (out-of-distribution docking). These are where overclaims get tested — read them before trusting a new model.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Tool repositories: </w:t>
      </w:r>
      <w:r>
        <w:t xml:space="preserve">the GitHub orgs for Boltz, OpenFold, REINVENT (MolecularAI), and RDKit, plus their issue trackers, are the most current signal of real-world usability.</w:t>
      </w:r>
    </w:p>
    <w:p>
      <w:pPr>
        <w:pStyle w:val="Heading1"/>
      </w:pPr>
      <w:r>
        <w:t xml:space="preserve">7. Regulatory and ethical framing</w:t>
      </w:r>
    </w:p>
    <w:p>
      <w:pPr>
        <w:spacing w:after="140" w:line="276"/>
      </w:pPr>
      <w:r>
        <w:t xml:space="preserve">Any movement from in-silico work toward real compounds engages controlled-substance scheduling, institutional review, and human-research ethics — these are part of the pipeline, not an afterthought. The novelty that makes a compound scientifically interesting is the same property that makes its safety profile genuinely unknown; the cautionary history of rationally-derived but dangerous analogs (e.g. certain potent 5-HT2A agonist series associated with seizures and severe vasoconstriction) is exactly why the human-clinical stages cannot be shortcut. This document supports literacy and research planning only.</w:t>
      </w:r>
    </w:p>
    <w:p>
      <w:pPr>
        <w:pBdr>
          <w:bottom w:val="single" w:color="6B4E8C" w:sz="6" w:space="1"/>
        </w:pBdr>
        <w:spacing w:after="120"/>
      </w:pPr>
    </w:p>
    <w:p>
      <w:pPr>
        <w:spacing w:after="140" w:line="276"/>
      </w:pPr>
      <w:r>
        <w:rPr>
          <w:i/>
          <w:iCs/>
        </w:rPr>
        <w:t xml:space="preserve">End of reference. Companion materials: a Claude Code project specification and a set of background-reading notes accompany this document, designed to turn the tools above into a hands-on learning environment.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2"/>
      </w:pBdr>
      <w:jc w:val="right"/>
    </w:pPr>
    <w:r>
      <w:rPr>
        <w:color w:val="555555"/>
        <w:sz w:val="16"/>
        <w:szCs w:val="16"/>
      </w:rPr>
      <w:t xml:space="preserve">Computational Pipeline for Novel Psychedelic Discovery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2E5A88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2E5A8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6B4E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5555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Novel Psychedelic Discovery: Computational Pipeline Reference</dc:title>
  <dc:creator>Claude</dc:creator>
  <cp:lastModifiedBy>Un-named</cp:lastModifiedBy>
  <cp:revision>1</cp:revision>
  <dcterms:created xsi:type="dcterms:W3CDTF">2026-06-19T10:11:18.264Z</dcterms:created>
  <dcterms:modified xsi:type="dcterms:W3CDTF">2026-06-19T10:11:18.264Z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