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widowControl/>
      </w:pPr>
      <w:r>
        <w:rPr>
          <w:b/>
          <w:color w:val="2F75B5"/>
          <w:sz w:val="26"/>
        </w:rPr>
        <w:t>CHATWOOT</w:t>
      </w:r>
    </w:p>
    <w:p>
      <w:pPr>
        <w:pStyle w:val="Title"/>
        <w:jc w:val="center"/>
        <w:widowControl/>
      </w:pPr>
      <w:r>
        <w:t>Headless Integration Specification</w:t>
      </w:r>
    </w:p>
    <w:p>
      <w:pPr>
        <w:pStyle w:val="Subtitle"/>
        <w:jc w:val="center"/>
        <w:widowControl/>
      </w:pPr>
      <w:r>
        <w:t>Implementation of Chatwoot Community Edition as a decoupled communications service within a proprietary React / Next.js / Node.js application</w:t>
      </w:r>
    </w:p>
    <w:tbl>
      <w:tblPr>
        <w:tblW w:type="auto" w:w="0"/>
        <w:jc w:val="center"/>
        <w:tblLayout w:type="fixed"/>
        <w:tblLook w:firstColumn="1" w:firstRow="1" w:lastColumn="0" w:lastRow="0" w:noHBand="0" w:noVBand="1" w:val="04A0"/>
      </w:tblPr>
      <w:tblGrid>
        <w:gridCol w:w="7632"/>
      </w:tblGrid>
      <w:tr>
        <w:trPr>
          <w:trHeight w:val="80" w:hRule="exact"/>
        </w:trPr>
        <w:tc>
          <w:tcPr>
            <w:tcW w:type="dxa" w:w="10080"/>
            <w:shd w:fill="2F75B5"/>
            <w:tcMar>
              <w:top w:w="0" w:type="dxa"/>
              <w:start w:w="0" w:type="dxa"/>
              <w:bottom w:w="0" w:type="dxa"/>
              <w:end w:w="0" w:type="dxa"/>
            </w:tcMar>
          </w:tcPr>
          <w:p/>
        </w:tc>
      </w:tr>
    </w:tbl>
    <w:p>
      <w:pPr>
        <w:widowControl/>
      </w:pPr>
    </w:p>
    <w:tbl>
      <w:tblPr>
        <w:tblW w:type="auto" w:w="0"/>
        <w:jc w:val="center"/>
        <w:tblLayout w:type="fixed"/>
        <w:tblLook w:firstColumn="1" w:firstRow="1" w:lastColumn="0" w:lastRow="0" w:noHBand="0" w:noVBand="1" w:val="04A0"/>
      </w:tblPr>
      <w:tblGrid>
        <w:gridCol w:w="115"/>
        <w:gridCol w:w="10008"/>
      </w:tblGrid>
      <w:tr>
        <w:trPr>
          <w:cantSplit/>
        </w:trPr>
        <w:tc>
          <w:tcPr>
            <w:tcW w:type="dxa" w:w="5040"/>
            <w:shd w:fill="2E7D32"/>
            <w:tcMar>
              <w:top w:w="0" w:type="dxa"/>
              <w:start w:w="0" w:type="dxa"/>
              <w:bottom w:w="0" w:type="dxa"/>
              <w:end w:w="0" w:type="dxa"/>
            </w:tcMar>
          </w:tcPr>
          <w:p/>
        </w:tc>
        <w:tc>
          <w:tcPr>
            <w:tcW w:type="dxa" w:w="5040"/>
            <w:shd w:fill="E8F5E9"/>
            <w:tcMar>
              <w:top w:w="95" w:type="dxa"/>
              <w:start w:w="130" w:type="dxa"/>
              <w:bottom w:w="95" w:type="dxa"/>
              <w:end w:w="130" w:type="dxa"/>
            </w:tcMar>
          </w:tcPr>
          <w:p>
            <w:pPr>
              <w:spacing w:after="40"/>
            </w:pPr>
            <w:r>
              <w:rPr>
                <w:b/>
                <w:color w:val="2E7D32"/>
                <w:sz w:val="19"/>
              </w:rPr>
              <w:t>Recommended architecture</w:t>
            </w:r>
          </w:p>
          <w:p>
            <w:pPr>
              <w:spacing w:after="0" w:line="252" w:lineRule="auto"/>
            </w:pPr>
            <w:r>
              <w:rPr>
                <w:color w:val="1F2937"/>
                <w:sz w:val="18"/>
              </w:rPr>
              <w:t>Use a version-pinned Chatwoot Community Edition deployment as a private communications backend. Place a proprietary Node.js support gateway between Chatwoot and the custom Next.js UI. Avoid a long-lived fork unless a narrowly scoped backend capability is missing.</w:t>
            </w:r>
          </w:p>
        </w:tc>
      </w:tr>
    </w:tbl>
    <w:p>
      <w:pPr>
        <w:widowControl/>
      </w:pP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65D"/>
            <w:tcMar>
              <w:top w:w="75" w:type="dxa"/>
              <w:start w:w="90" w:type="dxa"/>
              <w:bottom w:w="75" w:type="dxa"/>
              <w:end w:w="90" w:type="dxa"/>
            </w:tcMar>
          </w:tcPr>
          <w:p>
            <w:pPr>
              <w:jc w:val="left"/>
            </w:pPr>
            <w:r>
              <w:rPr>
                <w:b/>
                <w:color w:val="FFFFFF"/>
                <w:sz w:val="18"/>
              </w:rPr>
              <w:t>Document field</w:t>
            </w:r>
          </w:p>
        </w:tc>
        <w:tc>
          <w:tcPr>
            <w:tcW w:type="dxa" w:w="7200"/>
            <w:shd w:fill="17365D"/>
            <w:tcMar>
              <w:top w:w="75" w:type="dxa"/>
              <w:start w:w="90" w:type="dxa"/>
              <w:bottom w:w="75" w:type="dxa"/>
              <w:end w:w="90" w:type="dxa"/>
            </w:tcMar>
          </w:tcPr>
          <w:p>
            <w:pPr>
              <w:jc w:val="left"/>
            </w:pPr>
            <w:r>
              <w:rPr>
                <w:b/>
                <w:color w:val="FFFFFF"/>
                <w:sz w:val="18"/>
              </w:rPr>
              <w:t>Value</w:t>
            </w:r>
          </w:p>
        </w:tc>
      </w:tr>
      <w:tr>
        <w:trPr>
          <w:cantSplit/>
        </w:trPr>
        <w:tc>
          <w:tcPr>
            <w:tcW w:type="dxa" w:w="2448"/>
            <w:tcMar>
              <w:top w:w="70" w:type="dxa"/>
              <w:start w:w="90" w:type="dxa"/>
              <w:bottom w:w="70" w:type="dxa"/>
              <w:end w:w="90" w:type="dxa"/>
            </w:tcMar>
          </w:tcPr>
          <w:p>
            <w:pPr>
              <w:spacing w:after="0"/>
            </w:pPr>
            <w:r>
              <w:rPr>
                <w:color w:val="1F2937"/>
                <w:sz w:val="18"/>
              </w:rPr>
              <w:t>Document type</w:t>
            </w:r>
          </w:p>
        </w:tc>
        <w:tc>
          <w:tcPr>
            <w:tcW w:type="dxa" w:w="7200"/>
            <w:tcMar>
              <w:top w:w="70" w:type="dxa"/>
              <w:start w:w="90" w:type="dxa"/>
              <w:bottom w:w="70" w:type="dxa"/>
              <w:end w:w="90" w:type="dxa"/>
            </w:tcMar>
          </w:tcPr>
          <w:p>
            <w:pPr>
              <w:spacing w:after="0"/>
            </w:pPr>
            <w:r>
              <w:rPr>
                <w:color w:val="1F2937"/>
                <w:sz w:val="18"/>
              </w:rPr>
              <w:t>Technical implementation specification</w:t>
            </w:r>
          </w:p>
        </w:tc>
      </w:tr>
      <w:tr>
        <w:trPr>
          <w:cantSplit/>
        </w:trPr>
        <w:tc>
          <w:tcPr>
            <w:tcW w:type="dxa" w:w="2448"/>
            <w:shd w:fill="F8FAFC"/>
            <w:tcMar>
              <w:top w:w="70" w:type="dxa"/>
              <w:start w:w="90" w:type="dxa"/>
              <w:bottom w:w="70" w:type="dxa"/>
              <w:end w:w="90" w:type="dxa"/>
            </w:tcMar>
          </w:tcPr>
          <w:p>
            <w:pPr>
              <w:spacing w:after="0"/>
            </w:pPr>
            <w:r>
              <w:rPr>
                <w:color w:val="1F2937"/>
                <w:sz w:val="18"/>
              </w:rPr>
              <w:t>Target stack</w:t>
            </w:r>
          </w:p>
        </w:tc>
        <w:tc>
          <w:tcPr>
            <w:tcW w:type="dxa" w:w="7200"/>
            <w:shd w:fill="F8FAFC"/>
            <w:tcMar>
              <w:top w:w="70" w:type="dxa"/>
              <w:start w:w="90" w:type="dxa"/>
              <w:bottom w:w="70" w:type="dxa"/>
              <w:end w:w="90" w:type="dxa"/>
            </w:tcMar>
          </w:tcPr>
          <w:p>
            <w:pPr>
              <w:spacing w:after="0"/>
            </w:pPr>
            <w:r>
              <w:rPr>
                <w:color w:val="1F2937"/>
                <w:sz w:val="18"/>
              </w:rPr>
              <w:t>React, Next.js, Node.js</w:t>
            </w:r>
          </w:p>
        </w:tc>
      </w:tr>
      <w:tr>
        <w:trPr>
          <w:cantSplit/>
        </w:trPr>
        <w:tc>
          <w:tcPr>
            <w:tcW w:type="dxa" w:w="2448"/>
            <w:tcMar>
              <w:top w:w="70" w:type="dxa"/>
              <w:start w:w="90" w:type="dxa"/>
              <w:bottom w:w="70" w:type="dxa"/>
              <w:end w:w="90" w:type="dxa"/>
            </w:tcMar>
          </w:tcPr>
          <w:p>
            <w:pPr>
              <w:spacing w:after="0"/>
            </w:pPr>
            <w:r>
              <w:rPr>
                <w:color w:val="1F2937"/>
                <w:sz w:val="18"/>
              </w:rPr>
              <w:t>Chatwoot edition</w:t>
            </w:r>
          </w:p>
        </w:tc>
        <w:tc>
          <w:tcPr>
            <w:tcW w:type="dxa" w:w="7200"/>
            <w:tcMar>
              <w:top w:w="70" w:type="dxa"/>
              <w:start w:w="90" w:type="dxa"/>
              <w:bottom w:w="70" w:type="dxa"/>
              <w:end w:w="90" w:type="dxa"/>
            </w:tcMar>
          </w:tcPr>
          <w:p>
            <w:pPr>
              <w:spacing w:after="0"/>
            </w:pPr>
            <w:r>
              <w:rPr>
                <w:color w:val="1F2937"/>
                <w:sz w:val="18"/>
              </w:rPr>
              <w:t>Community Edition (CE), excluding enterprise/ code</w:t>
            </w:r>
          </w:p>
        </w:tc>
      </w:tr>
      <w:tr>
        <w:trPr>
          <w:cantSplit/>
        </w:trPr>
        <w:tc>
          <w:tcPr>
            <w:tcW w:type="dxa" w:w="2448"/>
            <w:shd w:fill="F8FAFC"/>
            <w:tcMar>
              <w:top w:w="70" w:type="dxa"/>
              <w:start w:w="90" w:type="dxa"/>
              <w:bottom w:w="70" w:type="dxa"/>
              <w:end w:w="90" w:type="dxa"/>
            </w:tcMar>
          </w:tcPr>
          <w:p>
            <w:pPr>
              <w:spacing w:after="0"/>
            </w:pPr>
            <w:r>
              <w:rPr>
                <w:color w:val="1F2937"/>
                <w:sz w:val="18"/>
              </w:rPr>
              <w:t>Integration pattern</w:t>
            </w:r>
          </w:p>
        </w:tc>
        <w:tc>
          <w:tcPr>
            <w:tcW w:type="dxa" w:w="7200"/>
            <w:shd w:fill="F8FAFC"/>
            <w:tcMar>
              <w:top w:w="70" w:type="dxa"/>
              <w:start w:w="90" w:type="dxa"/>
              <w:bottom w:w="70" w:type="dxa"/>
              <w:end w:w="90" w:type="dxa"/>
            </w:tcMar>
          </w:tcPr>
          <w:p>
            <w:pPr>
              <w:spacing w:after="0"/>
            </w:pPr>
            <w:r>
              <w:rPr>
                <w:color w:val="1F2937"/>
                <w:sz w:val="18"/>
              </w:rPr>
              <w:t>Headless API and webhook integration</w:t>
            </w:r>
          </w:p>
        </w:tc>
      </w:tr>
      <w:tr>
        <w:trPr>
          <w:cantSplit/>
        </w:trPr>
        <w:tc>
          <w:tcPr>
            <w:tcW w:type="dxa" w:w="2448"/>
            <w:tcMar>
              <w:top w:w="70" w:type="dxa"/>
              <w:start w:w="90" w:type="dxa"/>
              <w:bottom w:w="70" w:type="dxa"/>
              <w:end w:w="90" w:type="dxa"/>
            </w:tcMar>
          </w:tcPr>
          <w:p>
            <w:pPr>
              <w:spacing w:after="0"/>
            </w:pPr>
            <w:r>
              <w:rPr>
                <w:color w:val="1F2937"/>
                <w:sz w:val="18"/>
              </w:rPr>
              <w:t>Status</w:t>
            </w:r>
          </w:p>
        </w:tc>
        <w:tc>
          <w:tcPr>
            <w:tcW w:type="dxa" w:w="7200"/>
            <w:tcMar>
              <w:top w:w="70" w:type="dxa"/>
              <w:start w:w="90" w:type="dxa"/>
              <w:bottom w:w="70" w:type="dxa"/>
              <w:end w:w="90" w:type="dxa"/>
            </w:tcMar>
          </w:tcPr>
          <w:p>
            <w:pPr>
              <w:spacing w:after="0"/>
            </w:pPr>
            <w:r>
              <w:rPr>
                <w:color w:val="1F2937"/>
                <w:sz w:val="18"/>
              </w:rPr>
              <w:t>Recommended baseline architecture</w:t>
            </w:r>
          </w:p>
        </w:tc>
      </w:tr>
      <w:tr>
        <w:trPr>
          <w:cantSplit/>
        </w:trPr>
        <w:tc>
          <w:tcPr>
            <w:tcW w:type="dxa" w:w="2448"/>
            <w:shd w:fill="F8FAFC"/>
            <w:tcMar>
              <w:top w:w="70" w:type="dxa"/>
              <w:start w:w="90" w:type="dxa"/>
              <w:bottom w:w="70" w:type="dxa"/>
              <w:end w:w="90" w:type="dxa"/>
            </w:tcMar>
          </w:tcPr>
          <w:p>
            <w:pPr>
              <w:spacing w:after="0"/>
            </w:pPr>
            <w:r>
              <w:rPr>
                <w:color w:val="1F2937"/>
                <w:sz w:val="18"/>
              </w:rPr>
              <w:t>Version</w:t>
            </w:r>
          </w:p>
        </w:tc>
        <w:tc>
          <w:tcPr>
            <w:tcW w:type="dxa" w:w="7200"/>
            <w:shd w:fill="F8FAFC"/>
            <w:tcMar>
              <w:top w:w="70" w:type="dxa"/>
              <w:start w:w="90" w:type="dxa"/>
              <w:bottom w:w="70" w:type="dxa"/>
              <w:end w:w="90" w:type="dxa"/>
            </w:tcMar>
          </w:tcPr>
          <w:p>
            <w:pPr>
              <w:spacing w:after="0"/>
            </w:pPr>
            <w:r>
              <w:rPr>
                <w:color w:val="1F2937"/>
                <w:sz w:val="18"/>
              </w:rPr>
              <w:t>1.0</w:t>
            </w:r>
          </w:p>
        </w:tc>
      </w:tr>
      <w:tr>
        <w:trPr>
          <w:cantSplit/>
        </w:trPr>
        <w:tc>
          <w:tcPr>
            <w:tcW w:type="dxa" w:w="2448"/>
            <w:tcMar>
              <w:top w:w="70" w:type="dxa"/>
              <w:start w:w="90" w:type="dxa"/>
              <w:bottom w:w="70" w:type="dxa"/>
              <w:end w:w="90" w:type="dxa"/>
            </w:tcMar>
          </w:tcPr>
          <w:p>
            <w:pPr>
              <w:spacing w:after="0"/>
            </w:pPr>
            <w:r>
              <w:rPr>
                <w:color w:val="1F2937"/>
                <w:sz w:val="18"/>
              </w:rPr>
              <w:t>Date</w:t>
            </w:r>
          </w:p>
        </w:tc>
        <w:tc>
          <w:tcPr>
            <w:tcW w:type="dxa" w:w="7200"/>
            <w:tcMar>
              <w:top w:w="70" w:type="dxa"/>
              <w:start w:w="90" w:type="dxa"/>
              <w:bottom w:w="70" w:type="dxa"/>
              <w:end w:w="90" w:type="dxa"/>
            </w:tcMar>
          </w:tcPr>
          <w:p>
            <w:pPr>
              <w:spacing w:after="0"/>
            </w:pPr>
            <w:r>
              <w:rPr>
                <w:color w:val="1F2937"/>
                <w:sz w:val="18"/>
              </w:rPr>
              <w:t>July 20, 2026</w:t>
            </w:r>
          </w:p>
        </w:tc>
      </w:tr>
    </w:tbl>
    <w:p>
      <w:pPr>
        <w:widowControl/>
      </w:pPr>
    </w:p>
    <w:p>
      <w:pPr>
        <w:pStyle w:val="SmallText"/>
        <w:jc w:val="center"/>
        <w:widowControl/>
      </w:pPr>
      <w:r>
        <w:t>Licensing observations in this document are technical implementation guidance and are not a substitute for legal advice.</w:t>
      </w:r>
    </w:p>
    <w:p>
      <w:pPr>
        <w:widowControl/>
      </w:pPr>
      <w:r>
        <w:br w:type="page"/>
      </w:r>
    </w:p>
    <w:p>
      <w:pPr>
        <w:pStyle w:val="Heading1"/>
        <w:keepNext/>
        <w:keepLines/>
        <w:widowControl/>
      </w:pPr>
      <w:r>
        <w:t>Document Control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152"/>
            <w:shd w:fill="17365D"/>
            <w:tcMar>
              <w:top w:w="75" w:type="dxa"/>
              <w:start w:w="90" w:type="dxa"/>
              <w:bottom w:w="75" w:type="dxa"/>
              <w:end w:w="90" w:type="dxa"/>
            </w:tcMar>
          </w:tcPr>
          <w:p>
            <w:pPr>
              <w:jc w:val="left"/>
            </w:pPr>
            <w:r>
              <w:rPr>
                <w:b/>
                <w:color w:val="FFFFFF"/>
                <w:sz w:val="17"/>
              </w:rPr>
              <w:t>Version</w:t>
            </w:r>
          </w:p>
        </w:tc>
        <w:tc>
          <w:tcPr>
            <w:tcW w:type="dxa" w:w="1872"/>
            <w:shd w:fill="17365D"/>
            <w:tcMar>
              <w:top w:w="75" w:type="dxa"/>
              <w:start w:w="90" w:type="dxa"/>
              <w:bottom w:w="75" w:type="dxa"/>
              <w:end w:w="90" w:type="dxa"/>
            </w:tcMar>
          </w:tcPr>
          <w:p>
            <w:pPr>
              <w:jc w:val="left"/>
            </w:pPr>
            <w:r>
              <w:rPr>
                <w:b/>
                <w:color w:val="FFFFFF"/>
                <w:sz w:val="17"/>
              </w:rPr>
              <w:t>Date</w:t>
            </w:r>
          </w:p>
        </w:tc>
        <w:tc>
          <w:tcPr>
            <w:tcW w:type="dxa" w:w="6912"/>
            <w:shd w:fill="17365D"/>
            <w:tcMar>
              <w:top w:w="75" w:type="dxa"/>
              <w:start w:w="90" w:type="dxa"/>
              <w:bottom w:w="75" w:type="dxa"/>
              <w:end w:w="90" w:type="dxa"/>
            </w:tcMar>
          </w:tcPr>
          <w:p>
            <w:pPr>
              <w:jc w:val="left"/>
            </w:pPr>
            <w:r>
              <w:rPr>
                <w:b/>
                <w:color w:val="FFFFFF"/>
                <w:sz w:val="17"/>
              </w:rPr>
              <w:t>Change summary</w:t>
            </w:r>
          </w:p>
        </w:tc>
      </w:tr>
      <w:tr>
        <w:trPr>
          <w:cantSplit/>
        </w:trPr>
        <w:tc>
          <w:tcPr>
            <w:tcW w:type="dxa" w:w="1152"/>
            <w:tcMar>
              <w:top w:w="70" w:type="dxa"/>
              <w:start w:w="90" w:type="dxa"/>
              <w:bottom w:w="70" w:type="dxa"/>
              <w:end w:w="90" w:type="dxa"/>
            </w:tcMar>
          </w:tcPr>
          <w:p>
            <w:pPr>
              <w:spacing w:after="0"/>
            </w:pPr>
            <w:r>
              <w:rPr>
                <w:color w:val="1F2937"/>
                <w:sz w:val="17"/>
              </w:rPr>
              <w:t>1.0</w:t>
            </w:r>
          </w:p>
        </w:tc>
        <w:tc>
          <w:tcPr>
            <w:tcW w:type="dxa" w:w="1872"/>
            <w:tcMar>
              <w:top w:w="70" w:type="dxa"/>
              <w:start w:w="90" w:type="dxa"/>
              <w:bottom w:w="70" w:type="dxa"/>
              <w:end w:w="90" w:type="dxa"/>
            </w:tcMar>
          </w:tcPr>
          <w:p>
            <w:pPr>
              <w:spacing w:after="0"/>
            </w:pPr>
            <w:r>
              <w:rPr>
                <w:color w:val="1F2937"/>
                <w:sz w:val="17"/>
              </w:rPr>
              <w:t>July 20, 2026</w:t>
            </w:r>
          </w:p>
        </w:tc>
        <w:tc>
          <w:tcPr>
            <w:tcW w:type="dxa" w:w="6912"/>
            <w:tcMar>
              <w:top w:w="70" w:type="dxa"/>
              <w:start w:w="90" w:type="dxa"/>
              <w:bottom w:w="70" w:type="dxa"/>
              <w:end w:w="90" w:type="dxa"/>
            </w:tcMar>
          </w:tcPr>
          <w:p>
            <w:pPr>
              <w:spacing w:after="0"/>
            </w:pPr>
            <w:r>
              <w:rPr>
                <w:color w:val="1F2937"/>
                <w:sz w:val="17"/>
              </w:rPr>
              <w:t>Initial consolidated specification covering architecture, APIs, licensing, enterprise boundaries, security, deployment, patching, and acceptance testing.</w:t>
            </w:r>
          </w:p>
        </w:tc>
      </w:tr>
    </w:tbl>
    <w:p>
      <w:pPr>
        <w:pStyle w:val="Heading1"/>
        <w:keepNext/>
        <w:keepLines/>
        <w:widowControl/>
      </w:pPr>
      <w:r>
        <w:t>Contents</w:t>
      </w:r>
    </w:p>
    <w:p>
      <w:pPr>
        <w:spacing w:after="30"/>
        <w:ind w:left="216"/>
        <w:widowControl/>
      </w:pPr>
      <w:r>
        <w:rPr>
          <w:sz w:val="18"/>
        </w:rPr>
        <w:t>1. Executive Summary</w:t>
      </w:r>
    </w:p>
    <w:p>
      <w:pPr>
        <w:spacing w:after="30"/>
        <w:ind w:left="216"/>
        <w:widowControl/>
      </w:pPr>
      <w:r>
        <w:rPr>
          <w:sz w:val="18"/>
        </w:rPr>
        <w:t>2. Scope, Objectives, and Non-Goals</w:t>
      </w:r>
    </w:p>
    <w:p>
      <w:pPr>
        <w:spacing w:after="30"/>
        <w:ind w:left="216"/>
        <w:widowControl/>
      </w:pPr>
      <w:r>
        <w:rPr>
          <w:sz w:val="18"/>
        </w:rPr>
        <w:t>3. Architecture Decision</w:t>
      </w:r>
    </w:p>
    <w:p>
      <w:pPr>
        <w:spacing w:after="30"/>
        <w:ind w:left="216"/>
        <w:widowControl/>
      </w:pPr>
      <w:r>
        <w:rPr>
          <w:sz w:val="18"/>
        </w:rPr>
        <w:t>4. Licensing and Intellectual Property Boundary</w:t>
      </w:r>
    </w:p>
    <w:p>
      <w:pPr>
        <w:spacing w:after="30"/>
        <w:ind w:left="216"/>
        <w:widowControl/>
      </w:pPr>
      <w:r>
        <w:rPr>
          <w:sz w:val="18"/>
        </w:rPr>
        <w:t>5. System Architecture</w:t>
      </w:r>
    </w:p>
    <w:p>
      <w:pPr>
        <w:spacing w:after="30"/>
        <w:ind w:left="216"/>
        <w:widowControl/>
      </w:pPr>
      <w:r>
        <w:rPr>
          <w:sz w:val="18"/>
        </w:rPr>
        <w:t>6. Chatwoot API Strategy</w:t>
      </w:r>
    </w:p>
    <w:p>
      <w:pPr>
        <w:spacing w:after="30"/>
        <w:ind w:left="216"/>
        <w:widowControl/>
      </w:pPr>
      <w:r>
        <w:rPr>
          <w:sz w:val="18"/>
        </w:rPr>
        <w:t>7. Identity, Authentication, and Authorization</w:t>
      </w:r>
    </w:p>
    <w:p>
      <w:pPr>
        <w:spacing w:after="30"/>
        <w:ind w:left="216"/>
        <w:widowControl/>
      </w:pPr>
      <w:r>
        <w:rPr>
          <w:sz w:val="18"/>
        </w:rPr>
        <w:t>8. Tenant Mapping and Data Ownership</w:t>
      </w:r>
    </w:p>
    <w:p>
      <w:pPr>
        <w:spacing w:after="30"/>
        <w:ind w:left="216"/>
        <w:widowControl/>
      </w:pPr>
      <w:r>
        <w:rPr>
          <w:sz w:val="18"/>
        </w:rPr>
        <w:t>9. Email and Channel Processing</w:t>
      </w:r>
    </w:p>
    <w:p>
      <w:pPr>
        <w:spacing w:after="30"/>
        <w:ind w:left="216"/>
        <w:widowControl/>
      </w:pPr>
      <w:r>
        <w:rPr>
          <w:sz w:val="18"/>
        </w:rPr>
        <w:t>10. Webhooks, Realtime Delivery, and Reconciliation</w:t>
      </w:r>
    </w:p>
    <w:p>
      <w:pPr>
        <w:spacing w:after="30"/>
        <w:ind w:left="216"/>
        <w:widowControl/>
      </w:pPr>
      <w:r>
        <w:rPr>
          <w:sz w:val="18"/>
        </w:rPr>
        <w:t>11. API Compatibility and Provider Abstraction</w:t>
      </w:r>
    </w:p>
    <w:p>
      <w:pPr>
        <w:spacing w:after="30"/>
        <w:ind w:left="216"/>
        <w:widowControl/>
      </w:pPr>
      <w:r>
        <w:rPr>
          <w:sz w:val="18"/>
        </w:rPr>
        <w:t>12. Deployment and Operations</w:t>
      </w:r>
    </w:p>
    <w:p>
      <w:pPr>
        <w:spacing w:after="30"/>
        <w:ind w:left="216"/>
        <w:widowControl/>
      </w:pPr>
      <w:r>
        <w:rPr>
          <w:sz w:val="18"/>
        </w:rPr>
        <w:t>13. Fork and Upstream Maintenance Strategy</w:t>
      </w:r>
    </w:p>
    <w:p>
      <w:pPr>
        <w:spacing w:after="30"/>
        <w:ind w:left="216"/>
        <w:widowControl/>
      </w:pPr>
      <w:r>
        <w:rPr>
          <w:sz w:val="18"/>
        </w:rPr>
        <w:t>14. Enterprise Directory Feature Inventory</w:t>
      </w:r>
    </w:p>
    <w:p>
      <w:pPr>
        <w:spacing w:after="30"/>
        <w:ind w:left="216"/>
        <w:widowControl/>
      </w:pPr>
      <w:r>
        <w:rPr>
          <w:sz w:val="18"/>
        </w:rPr>
        <w:t>15. Security Requirements</w:t>
      </w:r>
    </w:p>
    <w:p>
      <w:pPr>
        <w:spacing w:after="30"/>
        <w:ind w:left="216"/>
        <w:widowControl/>
      </w:pPr>
      <w:r>
        <w:rPr>
          <w:sz w:val="18"/>
        </w:rPr>
        <w:t>16. Repository and Service Layout</w:t>
      </w:r>
    </w:p>
    <w:p>
      <w:pPr>
        <w:spacing w:after="30"/>
        <w:ind w:left="216"/>
        <w:widowControl/>
      </w:pPr>
      <w:r>
        <w:rPr>
          <w:sz w:val="18"/>
        </w:rPr>
        <w:t>17. Implementation Plan</w:t>
      </w:r>
    </w:p>
    <w:p>
      <w:pPr>
        <w:spacing w:after="30"/>
        <w:ind w:left="216"/>
        <w:widowControl/>
      </w:pPr>
      <w:r>
        <w:rPr>
          <w:sz w:val="18"/>
        </w:rPr>
        <w:t>18. Test and Acceptance Plan</w:t>
      </w:r>
    </w:p>
    <w:p>
      <w:pPr>
        <w:spacing w:after="30"/>
        <w:ind w:left="216"/>
        <w:widowControl/>
      </w:pPr>
      <w:r>
        <w:rPr>
          <w:sz w:val="18"/>
        </w:rPr>
        <w:t>19. Risks and Mitigations</w:t>
      </w:r>
    </w:p>
    <w:p>
      <w:pPr>
        <w:spacing w:after="30"/>
        <w:ind w:left="216"/>
        <w:widowControl/>
      </w:pPr>
      <w:r>
        <w:rPr>
          <w:sz w:val="18"/>
        </w:rPr>
        <w:t>20. Final Recommendation</w:t>
      </w:r>
    </w:p>
    <w:p>
      <w:pPr>
        <w:spacing w:after="30"/>
        <w:ind w:left="216"/>
        <w:widowControl/>
      </w:pPr>
      <w:r>
        <w:rPr>
          <w:sz w:val="18"/>
        </w:rPr>
        <w:t>Appendix A. Suggested API Contract</w:t>
      </w:r>
    </w:p>
    <w:p>
      <w:pPr>
        <w:spacing w:after="30"/>
        <w:ind w:left="216"/>
        <w:widowControl/>
      </w:pPr>
      <w:r>
        <w:rPr>
          <w:sz w:val="18"/>
        </w:rPr>
        <w:t>Appendix B. Operational Checklist</w:t>
      </w:r>
    </w:p>
    <w:p>
      <w:pPr>
        <w:spacing w:after="30"/>
        <w:ind w:left="216"/>
        <w:widowControl/>
      </w:pPr>
      <w:r>
        <w:rPr>
          <w:sz w:val="18"/>
        </w:rPr>
        <w:t>Appendix C. Source References</w:t>
      </w:r>
    </w:p>
    <w:p>
      <w:pPr>
        <w:pStyle w:val="Heading1"/>
        <w:keepNext/>
        <w:keepLines/>
        <w:widowControl/>
      </w:pPr>
      <w:r>
        <w:t>1. Executive Summary</w:t>
      </w:r>
    </w:p>
    <w:p>
      <w:pPr>
        <w:widowControl/>
      </w:pPr>
      <w:r>
        <w:rPr>
          <w:b/>
        </w:rPr>
        <w:t xml:space="preserve">Decision. </w:t>
      </w:r>
      <w:r>
        <w:t>Deploy Chatwoot Community Edition as a private, separately operated communications service and expose it to the proprietary application only through a Node.js support gateway. The custom Next.js application remains the sole user-facing support interface. The native Chatwoot UI remains available only on an internal administrative hostname for configuration, mailbox authorization, troubleshooting, and emergency access.</w:t>
      </w:r>
    </w:p>
    <w:p>
      <w:pPr>
        <w:widowControl/>
      </w:pPr>
      <w:r>
        <w:rPr>
          <w:b/>
        </w:rPr>
        <w:t xml:space="preserve">Why this design. </w:t>
      </w:r>
      <w:r>
        <w:t>Chatwoot already supplies the difficult communications capabilities: email ingestion, mailbox connectivity, conversation and message persistence, attachments, contact records, channel metadata, delivery state, agent assignment, and APIs. Reusing those capabilities avoids rebuilding a helpdesk transport layer while preserving the proprietary application’s ownership of tickets, workflows, tenant authorization, business objects, auditing, and user experience.</w:t>
      </w:r>
    </w:p>
    <w:p>
      <w:pPr>
        <w:widowControl/>
      </w:pPr>
      <w:r>
        <w:rPr>
          <w:b/>
        </w:rPr>
        <w:t xml:space="preserve">Fork policy. </w:t>
      </w:r>
      <w:r>
        <w:t>Do not begin with a permanent fork. Pin an official CE image, isolate Chatwoot behind a provider interface, and maintain a small patch overlay only when an essential backend behavior cannot be implemented in the gateway. This produces the lowest upstream merge burden and keeps Chatwoot replaceable.</w:t>
      </w:r>
    </w:p>
    <w:tbl>
      <w:tblPr>
        <w:tblW w:type="auto" w:w="0"/>
        <w:jc w:val="center"/>
        <w:tblLayout w:type="fixed"/>
        <w:tblLook w:firstColumn="1" w:firstRow="1" w:lastColumn="0" w:lastRow="0" w:noHBand="0" w:noVBand="1" w:val="04A0"/>
      </w:tblPr>
      <w:tblGrid>
        <w:gridCol w:w="115"/>
        <w:gridCol w:w="10008"/>
      </w:tblGrid>
      <w:tr>
        <w:trPr>
          <w:cantSplit/>
        </w:trPr>
        <w:tc>
          <w:tcPr>
            <w:tcW w:type="dxa" w:w="5040"/>
            <w:shd w:fill="2F75B5"/>
            <w:tcMar>
              <w:top w:w="0" w:type="dxa"/>
              <w:start w:w="0" w:type="dxa"/>
              <w:bottom w:w="0" w:type="dxa"/>
              <w:end w:w="0" w:type="dxa"/>
            </w:tcMar>
          </w:tcPr>
          <w:p/>
        </w:tc>
        <w:tc>
          <w:tcPr>
            <w:tcW w:type="dxa" w:w="5040"/>
            <w:shd w:fill="EAF3F8"/>
            <w:tcMar>
              <w:top w:w="95" w:type="dxa"/>
              <w:start w:w="130" w:type="dxa"/>
              <w:bottom w:w="95" w:type="dxa"/>
              <w:end w:w="130" w:type="dxa"/>
            </w:tcMar>
          </w:tcPr>
          <w:p>
            <w:pPr>
              <w:spacing w:after="40"/>
            </w:pPr>
            <w:r>
              <w:rPr>
                <w:b/>
                <w:color w:val="2F75B5"/>
                <w:sz w:val="19"/>
              </w:rPr>
              <w:t>Key outcome</w:t>
            </w:r>
          </w:p>
          <w:p>
            <w:pPr>
              <w:spacing w:after="0" w:line="252" w:lineRule="auto"/>
            </w:pPr>
            <w:r>
              <w:rPr>
                <w:color w:val="1F2937"/>
                <w:sz w:val="18"/>
              </w:rPr>
              <w:t>The proprietary product owns the experience and business workflow. Chatwoot owns channel communications. The Node gateway is the security, compatibility, and tenancy boundary between them.</w:t>
            </w:r>
          </w:p>
        </w:tc>
      </w:tr>
    </w:tbl>
    <w:p>
      <w:pPr>
        <w:pStyle w:val="Heading1"/>
        <w:keepNext/>
        <w:keepLines/>
        <w:widowControl/>
      </w:pPr>
      <w:r>
        <w:t>2. Scope, Objectives, and Non-Goals</w:t>
      </w:r>
    </w:p>
    <w:p>
      <w:pPr>
        <w:pStyle w:val="Heading2"/>
        <w:keepNext/>
        <w:keepLines/>
        <w:widowControl/>
      </w:pPr>
      <w:r>
        <w:t>2.1 Objectives</w:t>
      </w:r>
    </w:p>
    <w:p>
      <w:pPr>
        <w:pStyle w:val="ListBullet"/>
        <w:spacing w:after="40"/>
        <w:widowControl/>
      </w:pPr>
      <w:r>
        <w:t>Provide a custom React / Next.js helpdesk and messaging experience without exposing Chatwoot’s dashboard to normal users.</w:t>
      </w:r>
    </w:p>
    <w:p>
      <w:pPr>
        <w:pStyle w:val="ListBullet"/>
        <w:spacing w:after="40"/>
        <w:widowControl/>
      </w:pPr>
      <w:r>
        <w:t>Use Chatwoot CE for email, chat, message, attachment, contact, inbox, and channel operations.</w:t>
      </w:r>
    </w:p>
    <w:p>
      <w:pPr>
        <w:pStyle w:val="ListBullet"/>
        <w:spacing w:after="40"/>
        <w:widowControl/>
      </w:pPr>
      <w:r>
        <w:t>Keep proprietary authentication, authorization, tenant controls, tickets, incidents, workflows, SLAs, auditing, and AI outside Chatwoot.</w:t>
      </w:r>
    </w:p>
    <w:p>
      <w:pPr>
        <w:pStyle w:val="ListBullet"/>
        <w:spacing w:after="40"/>
        <w:widowControl/>
      </w:pPr>
      <w:r>
        <w:t>Make Chatwoot an extensible and replaceable provider rather than a permanent internal dependency.</w:t>
      </w:r>
    </w:p>
    <w:p>
      <w:pPr>
        <w:pStyle w:val="ListBullet"/>
        <w:spacing w:after="40"/>
        <w:widowControl/>
      </w:pPr>
      <w:r>
        <w:t>Minimize changes to upstream Chatwoot and make upgrades testable and predictable.</w:t>
      </w:r>
    </w:p>
    <w:p>
      <w:pPr>
        <w:pStyle w:val="ListBullet"/>
        <w:spacing w:after="40"/>
        <w:widowControl/>
      </w:pPr>
      <w:r>
        <w:t>Preserve a clean MIT-licensed Community Edition boundary and exclude the proprietary enterprise/ directory.</w:t>
      </w:r>
    </w:p>
    <w:p>
      <w:pPr>
        <w:pStyle w:val="Heading2"/>
        <w:keepNext/>
        <w:keepLines/>
        <w:widowControl/>
      </w:pPr>
      <w:r>
        <w:t>2.2 Non-Goals</w:t>
      </w:r>
    </w:p>
    <w:p>
      <w:pPr>
        <w:pStyle w:val="ListBullet"/>
        <w:spacing w:after="40"/>
        <w:widowControl/>
      </w:pPr>
      <w:r>
        <w:t>Reimplementing the Chatwoot Rails and Vue application in Node.js.</w:t>
      </w:r>
    </w:p>
    <w:p>
      <w:pPr>
        <w:pStyle w:val="ListBullet"/>
        <w:spacing w:after="40"/>
        <w:widowControl/>
      </w:pPr>
      <w:r>
        <w:t>Embedding or iframe-loading the Chatwoot agent dashboard as the product experience.</w:t>
      </w:r>
    </w:p>
    <w:p>
      <w:pPr>
        <w:pStyle w:val="ListBullet"/>
        <w:spacing w:after="40"/>
        <w:widowControl/>
      </w:pPr>
      <w:r>
        <w:t>Allowing the browser to call Chatwoot directly or possess Chatwoot access tokens.</w:t>
      </w:r>
    </w:p>
    <w:p>
      <w:pPr>
        <w:pStyle w:val="ListBullet"/>
        <w:spacing w:after="40"/>
        <w:widowControl/>
      </w:pPr>
      <w:r>
        <w:t>Making Chatwoot’s database tables part of the proprietary application’s canonical data model.</w:t>
      </w:r>
    </w:p>
    <w:p>
      <w:pPr>
        <w:pStyle w:val="ListBullet"/>
        <w:spacing w:after="40"/>
        <w:widowControl/>
      </w:pPr>
      <w:r>
        <w:t>Copying or recreating source code from Chatwoot’s enterprise/ directory without an applicable commercial license.</w:t>
      </w:r>
    </w:p>
    <w:p>
      <w:pPr>
        <w:pStyle w:val="ListBullet"/>
        <w:spacing w:after="40"/>
        <w:widowControl/>
      </w:pPr>
      <w:r>
        <w:t>Automatically tracking the latest Chatwoot image in production.</w:t>
      </w:r>
    </w:p>
    <w:p>
      <w:pPr>
        <w:pStyle w:val="Heading1"/>
        <w:keepNext/>
        <w:keepLines/>
        <w:widowControl/>
      </w:pPr>
      <w:r>
        <w:t>3. Architecture Decision</w:t>
      </w:r>
    </w:p>
    <w:p>
      <w:pPr>
        <w:pStyle w:val="Heading2"/>
        <w:keepNext/>
        <w:keepLines/>
        <w:widowControl/>
      </w:pPr>
      <w:r>
        <w:t>3.1 Selected pattern</w:t>
      </w:r>
    </w:p>
    <w:tbl>
      <w:tblPr>
        <w:tblW w:type="auto" w:w="0"/>
        <w:jc w:val="center"/>
        <w:tblLayout w:type="autofit"/>
        <w:tblLook w:firstColumn="1" w:firstRow="1" w:lastColumn="0" w:lastRow="0" w:noHBand="0" w:noVBand="1" w:val="04A0"/>
      </w:tblPr>
      <w:tblGrid>
        <w:gridCol w:w="10080"/>
      </w:tblGrid>
      <w:tr>
        <w:tc>
          <w:tcPr>
            <w:tcW w:type="dxa" w:w="10080"/>
            <w:shd w:fill="F7F8FA"/>
            <w:tcBorders>
              <w:top w:val="single" w:sz="4" w:color="D0D7DE"/>
              <w:left w:val="single" w:sz="4" w:color="D0D7DE"/>
              <w:bottom w:val="single" w:sz="4" w:color="D0D7DE"/>
              <w:right w:val="single" w:sz="4" w:color="D0D7DE"/>
            </w:tcBorders>
            <w:tcMar>
              <w:top w:w="100" w:type="dxa"/>
              <w:start w:w="140" w:type="dxa"/>
              <w:bottom w:w="100" w:type="dxa"/>
              <w:end w:w="140" w:type="dxa"/>
            </w:tcMar>
          </w:tcPr>
          <w:p>
            <w:pPr>
              <w:spacing w:after="0"/>
            </w:pPr>
            <w:r>
              <w:rPr>
                <w:rFonts w:ascii="Liberation Mono" w:hAnsi="Liberation Mono" w:eastAsia="Liberation Mono"/>
                <w:color w:val="1F2937"/>
                <w:sz w:val="17"/>
              </w:rPr>
              <w:t>Customer / Agent Browser</w:t>
              <w:br/>
              <w:t xml:space="preserve">        |</w:t>
              <w:br/>
              <w:t xml:space="preserve">        v</w:t>
              <w:br/>
              <w:t>Proprietary Next.js UI</w:t>
              <w:br/>
              <w:t xml:space="preserve">        |  (product session, tenant context, RBAC)</w:t>
              <w:br/>
              <w:t xml:space="preserve">        v</w:t>
              <w:br/>
              <w:t>Proprietary Node Support Gateway</w:t>
              <w:br/>
              <w:t xml:space="preserve">  - authorization and tenant enforcement</w:t>
              <w:br/>
              <w:t xml:space="preserve">  - provider-neutral API contract</w:t>
              <w:br/>
              <w:t xml:space="preserve">  - Chatwoot API adapter</w:t>
              <w:br/>
              <w:t xml:space="preserve">  - token vaulting</w:t>
              <w:br/>
              <w:t xml:space="preserve">  - webhook verification and idempotency</w:t>
              <w:br/>
              <w:t xml:space="preserve">  - cache / local read model / reconciliation</w:t>
              <w:br/>
              <w:t xml:space="preserve">        |</w:t>
              <w:br/>
              <w:t xml:space="preserve">        v</w:t>
              <w:br/>
              <w:t>Chatwoot Community Edition</w:t>
              <w:br/>
              <w:t xml:space="preserve">  - accounts, inboxes, contacts, conversations, messages</w:t>
              <w:br/>
              <w:t xml:space="preserve">  - email and other channel connectors</w:t>
              <w:br/>
              <w:t xml:space="preserve">  - attachments and delivery state</w:t>
              <w:br/>
              <w:t xml:space="preserve">        |</w:t>
              <w:br/>
              <w:t xml:space="preserve">        +--&gt; PostgreSQL</w:t>
              <w:br/>
              <w:t xml:space="preserve">        +--&gt; Redis / Sidekiq</w:t>
              <w:br/>
              <w:t xml:space="preserve">        +--&gt; Object storage</w:t>
              <w:br/>
              <w:t xml:space="preserve">        +--&gt; Email / messaging providers</w:t>
            </w:r>
          </w:p>
        </w:tc>
      </w:tr>
    </w:tbl>
    <w:p>
      <w:pPr>
        <w:pStyle w:val="Heading2"/>
        <w:keepNext/>
        <w:keepLines/>
        <w:widowControl/>
      </w:pPr>
      <w:r>
        <w:t>3.2 Why not merge Chatwoot into the application</w:t>
      </w:r>
    </w:p>
    <w:p>
      <w:pPr>
        <w:pStyle w:val="ListBullet"/>
        <w:spacing w:after="40"/>
        <w:widowControl/>
      </w:pPr>
      <w:r>
        <w:t>Chatwoot is a Rails application with a Vue front end; directly merging it into a Next.js / Node monorepo creates a permanent multi-framework maintenance burden.</w:t>
      </w:r>
    </w:p>
    <w:p>
      <w:pPr>
        <w:pStyle w:val="ListBullet"/>
        <w:spacing w:after="40"/>
        <w:widowControl/>
      </w:pPr>
      <w:r>
        <w:t>Its internal models and migrations change independently of the proprietary product.</w:t>
      </w:r>
    </w:p>
    <w:p>
      <w:pPr>
        <w:pStyle w:val="ListBullet"/>
        <w:spacing w:after="40"/>
        <w:widowControl/>
      </w:pPr>
      <w:r>
        <w:t>A service boundary allows Chatwoot to be upgraded, rolled back, scaled, or replaced independently.</w:t>
      </w:r>
    </w:p>
    <w:p>
      <w:pPr>
        <w:pStyle w:val="ListBullet"/>
        <w:spacing w:after="40"/>
        <w:widowControl/>
      </w:pPr>
      <w:r>
        <w:t>A provider adapter prevents raw Chatwoot response shapes and numeric IDs from leaking throughout the application.</w:t>
      </w:r>
    </w:p>
    <w:p>
      <w:pPr>
        <w:pStyle w:val="ListBullet"/>
        <w:spacing w:after="40"/>
        <w:widowControl/>
      </w:pPr>
      <w:r>
        <w:t>The service boundary makes the licensing boundary easier to document and audit.</w:t>
      </w:r>
    </w:p>
    <w:p>
      <w:pPr>
        <w:pStyle w:val="Heading2"/>
        <w:keepNext/>
        <w:keepLines/>
        <w:widowControl/>
      </w:pPr>
      <w:r>
        <w:t>3.3 Native Chatwoot UI treatment</w:t>
      </w:r>
    </w:p>
    <w:p>
      <w:pPr>
        <w:widowControl/>
      </w:pPr>
      <w:r>
        <w:t>Retain the native Chatwoot UI, but publish it only on an internal administration endpoint protected by network restrictions and administrator authentication. It remains useful for:</w:t>
      </w:r>
    </w:p>
    <w:p>
      <w:pPr>
        <w:pStyle w:val="ListBullet"/>
        <w:spacing w:after="40"/>
        <w:widowControl/>
      </w:pPr>
      <w:r>
        <w:t>Creating and configuring inboxes and channel integrations.</w:t>
      </w:r>
    </w:p>
    <w:p>
      <w:pPr>
        <w:pStyle w:val="ListBullet"/>
        <w:spacing w:after="40"/>
        <w:widowControl/>
      </w:pPr>
      <w:r>
        <w:t>Completing Google Workspace or Microsoft 365 OAuth authorization.</w:t>
      </w:r>
    </w:p>
    <w:p>
      <w:pPr>
        <w:pStyle w:val="ListBullet"/>
        <w:spacing w:after="40"/>
        <w:widowControl/>
      </w:pPr>
      <w:r>
        <w:t>Troubleshooting message delivery and provider settings.</w:t>
      </w:r>
    </w:p>
    <w:p>
      <w:pPr>
        <w:pStyle w:val="ListBullet"/>
        <w:spacing w:after="40"/>
        <w:widowControl/>
      </w:pPr>
      <w:r>
        <w:t>Emergency agent access if the proprietary UI is unavailable.</w:t>
      </w:r>
    </w:p>
    <w:p>
      <w:pPr>
        <w:pStyle w:val="ListBullet"/>
        <w:spacing w:after="40"/>
        <w:widowControl/>
      </w:pPr>
      <w:r>
        <w:t>Viewing configuration options not yet represented in the proprietary UI.</w:t>
      </w:r>
    </w:p>
    <w:p>
      <w:pPr>
        <w:pStyle w:val="Heading1"/>
        <w:keepNext/>
        <w:keepLines/>
        <w:widowControl/>
      </w:pPr>
      <w:r>
        <w:t>4. Licensing and Intellectual Property Boundary</w:t>
      </w:r>
    </w:p>
    <w:p>
      <w:pPr>
        <w:pStyle w:val="Heading2"/>
        <w:keepNext/>
        <w:keepLines/>
        <w:widowControl/>
      </w:pPr>
      <w:r>
        <w:t>4.1 Community Edition licensing</w:t>
      </w:r>
    </w:p>
    <w:p>
      <w:pPr>
        <w:widowControl/>
      </w:pPr>
      <w:r>
        <w:rPr>
          <w:b/>
        </w:rPr>
        <w:t xml:space="preserve">The repository is mixed-license. </w:t>
      </w:r>
      <w:r>
        <w:t>The root license states that code outside the enterprise/ directory is available under the MIT Expat license, while content under enterprise/ is governed by enterprise/LICENSE. Third-party components retain their own original licenses. [1][2]</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7365D"/>
            <w:tcMar>
              <w:top w:w="75" w:type="dxa"/>
              <w:start w:w="90" w:type="dxa"/>
              <w:bottom w:w="75" w:type="dxa"/>
              <w:end w:w="90" w:type="dxa"/>
            </w:tcMar>
          </w:tcPr>
          <w:p>
            <w:pPr>
              <w:jc w:val="left"/>
            </w:pPr>
            <w:r>
              <w:rPr>
                <w:b/>
                <w:color w:val="FFFFFF"/>
                <w:sz w:val="16"/>
              </w:rPr>
              <w:t>Code category</w:t>
            </w:r>
          </w:p>
        </w:tc>
        <w:tc>
          <w:tcPr>
            <w:tcW w:type="dxa" w:w="2880"/>
            <w:shd w:fill="17365D"/>
            <w:tcMar>
              <w:top w:w="75" w:type="dxa"/>
              <w:start w:w="90" w:type="dxa"/>
              <w:bottom w:w="75" w:type="dxa"/>
              <w:end w:w="90" w:type="dxa"/>
            </w:tcMar>
          </w:tcPr>
          <w:p>
            <w:pPr>
              <w:jc w:val="left"/>
            </w:pPr>
            <w:r>
              <w:rPr>
                <w:b/>
                <w:color w:val="FFFFFF"/>
                <w:sz w:val="16"/>
              </w:rPr>
              <w:t>License treatment</w:t>
            </w:r>
          </w:p>
        </w:tc>
        <w:tc>
          <w:tcPr>
            <w:tcW w:type="dxa" w:w="4680"/>
            <w:shd w:fill="17365D"/>
            <w:tcMar>
              <w:top w:w="75" w:type="dxa"/>
              <w:start w:w="90" w:type="dxa"/>
              <w:bottom w:w="75" w:type="dxa"/>
              <w:end w:w="90" w:type="dxa"/>
            </w:tcMar>
          </w:tcPr>
          <w:p>
            <w:pPr>
              <w:jc w:val="left"/>
            </w:pPr>
            <w:r>
              <w:rPr>
                <w:b/>
                <w:color w:val="FFFFFF"/>
                <w:sz w:val="16"/>
              </w:rPr>
              <w:t>Implementation rule</w:t>
            </w:r>
          </w:p>
        </w:tc>
      </w:tr>
      <w:tr>
        <w:trPr>
          <w:cantSplit/>
        </w:trPr>
        <w:tc>
          <w:tcPr>
            <w:tcW w:type="dxa" w:w="2088"/>
            <w:tcMar>
              <w:top w:w="70" w:type="dxa"/>
              <w:start w:w="90" w:type="dxa"/>
              <w:bottom w:w="70" w:type="dxa"/>
              <w:end w:w="90" w:type="dxa"/>
            </w:tcMar>
          </w:tcPr>
          <w:p>
            <w:pPr>
              <w:spacing w:after="0"/>
            </w:pPr>
            <w:r>
              <w:rPr>
                <w:color w:val="1F2937"/>
                <w:sz w:val="16"/>
              </w:rPr>
              <w:t>Code outside enterprise/</w:t>
            </w:r>
          </w:p>
        </w:tc>
        <w:tc>
          <w:tcPr>
            <w:tcW w:type="dxa" w:w="2880"/>
            <w:tcMar>
              <w:top w:w="70" w:type="dxa"/>
              <w:start w:w="90" w:type="dxa"/>
              <w:bottom w:w="70" w:type="dxa"/>
              <w:end w:w="90" w:type="dxa"/>
            </w:tcMar>
          </w:tcPr>
          <w:p>
            <w:pPr>
              <w:spacing w:after="0"/>
            </w:pPr>
            <w:r>
              <w:rPr>
                <w:color w:val="1F2937"/>
                <w:sz w:val="16"/>
              </w:rPr>
              <w:t>MIT Expat, subject to notices and third-party licenses</w:t>
            </w:r>
          </w:p>
        </w:tc>
        <w:tc>
          <w:tcPr>
            <w:tcW w:type="dxa" w:w="4680"/>
            <w:tcMar>
              <w:top w:w="70" w:type="dxa"/>
              <w:start w:w="90" w:type="dxa"/>
              <w:bottom w:w="70" w:type="dxa"/>
              <w:end w:w="90" w:type="dxa"/>
            </w:tcMar>
          </w:tcPr>
          <w:p>
            <w:pPr>
              <w:spacing w:after="0"/>
            </w:pPr>
            <w:r>
              <w:rPr>
                <w:color w:val="1F2937"/>
                <w:sz w:val="16"/>
              </w:rPr>
              <w:t>May be used, modified, distributed, sublicensed, and incorporated into a proprietary product while preserving required copyright and permission notices.</w:t>
            </w:r>
          </w:p>
        </w:tc>
      </w:tr>
      <w:tr>
        <w:trPr>
          <w:cantSplit/>
        </w:trPr>
        <w:tc>
          <w:tcPr>
            <w:tcW w:type="dxa" w:w="2088"/>
            <w:shd w:fill="F8FAFC"/>
            <w:tcMar>
              <w:top w:w="70" w:type="dxa"/>
              <w:start w:w="90" w:type="dxa"/>
              <w:bottom w:w="70" w:type="dxa"/>
              <w:end w:w="90" w:type="dxa"/>
            </w:tcMar>
          </w:tcPr>
          <w:p>
            <w:pPr>
              <w:spacing w:after="0"/>
            </w:pPr>
            <w:r>
              <w:rPr>
                <w:color w:val="1F2937"/>
                <w:sz w:val="16"/>
              </w:rPr>
              <w:t>enterprise/ directory</w:t>
            </w:r>
          </w:p>
        </w:tc>
        <w:tc>
          <w:tcPr>
            <w:tcW w:type="dxa" w:w="2880"/>
            <w:shd w:fill="F8FAFC"/>
            <w:tcMar>
              <w:top w:w="70" w:type="dxa"/>
              <w:start w:w="90" w:type="dxa"/>
              <w:bottom w:w="70" w:type="dxa"/>
              <w:end w:w="90" w:type="dxa"/>
            </w:tcMar>
          </w:tcPr>
          <w:p>
            <w:pPr>
              <w:spacing w:after="0"/>
            </w:pPr>
            <w:r>
              <w:rPr>
                <w:color w:val="1F2937"/>
                <w:sz w:val="16"/>
              </w:rPr>
              <w:t>Separate proprietary enterprise license</w:t>
            </w:r>
          </w:p>
        </w:tc>
        <w:tc>
          <w:tcPr>
            <w:tcW w:type="dxa" w:w="4680"/>
            <w:shd w:fill="F8FAFC"/>
            <w:tcMar>
              <w:top w:w="70" w:type="dxa"/>
              <w:start w:w="90" w:type="dxa"/>
              <w:bottom w:w="70" w:type="dxa"/>
              <w:end w:w="90" w:type="dxa"/>
            </w:tcMar>
          </w:tcPr>
          <w:p>
            <w:pPr>
              <w:spacing w:after="0"/>
            </w:pPr>
            <w:r>
              <w:rPr>
                <w:color w:val="1F2937"/>
                <w:sz w:val="16"/>
              </w:rPr>
              <w:t>Do not copy, build, distribute, or use in production unless the enterprise license and subscription requirements are satisfied.</w:t>
            </w:r>
          </w:p>
        </w:tc>
      </w:tr>
      <w:tr>
        <w:trPr>
          <w:cantSplit/>
        </w:trPr>
        <w:tc>
          <w:tcPr>
            <w:tcW w:type="dxa" w:w="2088"/>
            <w:tcMar>
              <w:top w:w="70" w:type="dxa"/>
              <w:start w:w="90" w:type="dxa"/>
              <w:bottom w:w="70" w:type="dxa"/>
              <w:end w:w="90" w:type="dxa"/>
            </w:tcMar>
          </w:tcPr>
          <w:p>
            <w:pPr>
              <w:spacing w:after="0"/>
            </w:pPr>
            <w:r>
              <w:rPr>
                <w:color w:val="1F2937"/>
                <w:sz w:val="16"/>
              </w:rPr>
              <w:t>Third-party dependencies</w:t>
            </w:r>
          </w:p>
        </w:tc>
        <w:tc>
          <w:tcPr>
            <w:tcW w:type="dxa" w:w="2880"/>
            <w:tcMar>
              <w:top w:w="70" w:type="dxa"/>
              <w:start w:w="90" w:type="dxa"/>
              <w:bottom w:w="70" w:type="dxa"/>
              <w:end w:w="90" w:type="dxa"/>
            </w:tcMar>
          </w:tcPr>
          <w:p>
            <w:pPr>
              <w:spacing w:after="0"/>
            </w:pPr>
            <w:r>
              <w:rPr>
                <w:color w:val="1F2937"/>
                <w:sz w:val="16"/>
              </w:rPr>
              <w:t>Original upstream licenses</w:t>
            </w:r>
          </w:p>
        </w:tc>
        <w:tc>
          <w:tcPr>
            <w:tcW w:type="dxa" w:w="4680"/>
            <w:tcMar>
              <w:top w:w="70" w:type="dxa"/>
              <w:start w:w="90" w:type="dxa"/>
              <w:bottom w:w="70" w:type="dxa"/>
              <w:end w:w="90" w:type="dxa"/>
            </w:tcMar>
          </w:tcPr>
          <w:p>
            <w:pPr>
              <w:spacing w:after="0"/>
            </w:pPr>
            <w:r>
              <w:rPr>
                <w:color w:val="1F2937"/>
                <w:sz w:val="16"/>
              </w:rPr>
              <w:t>Run software-composition analysis and retain any required notices, attributions, source offers, or license texts.</w:t>
            </w:r>
          </w:p>
        </w:tc>
      </w:tr>
      <w:tr>
        <w:trPr>
          <w:cantSplit/>
        </w:trPr>
        <w:tc>
          <w:tcPr>
            <w:tcW w:type="dxa" w:w="2088"/>
            <w:shd w:fill="F8FAFC"/>
            <w:tcMar>
              <w:top w:w="70" w:type="dxa"/>
              <w:start w:w="90" w:type="dxa"/>
              <w:bottom w:w="70" w:type="dxa"/>
              <w:end w:w="90" w:type="dxa"/>
            </w:tcMar>
          </w:tcPr>
          <w:p>
            <w:pPr>
              <w:spacing w:after="0"/>
            </w:pPr>
            <w:r>
              <w:rPr>
                <w:color w:val="1F2937"/>
                <w:sz w:val="16"/>
              </w:rPr>
              <w:t>Proprietary UI and gateway</w:t>
            </w:r>
          </w:p>
        </w:tc>
        <w:tc>
          <w:tcPr>
            <w:tcW w:type="dxa" w:w="2880"/>
            <w:shd w:fill="F8FAFC"/>
            <w:tcMar>
              <w:top w:w="70" w:type="dxa"/>
              <w:start w:w="90" w:type="dxa"/>
              <w:bottom w:w="70" w:type="dxa"/>
              <w:end w:w="90" w:type="dxa"/>
            </w:tcMar>
          </w:tcPr>
          <w:p>
            <w:pPr>
              <w:spacing w:after="0"/>
            </w:pPr>
            <w:r>
              <w:rPr>
                <w:color w:val="1F2937"/>
                <w:sz w:val="16"/>
              </w:rPr>
              <w:t>Your proprietary license</w:t>
            </w:r>
          </w:p>
        </w:tc>
        <w:tc>
          <w:tcPr>
            <w:tcW w:type="dxa" w:w="4680"/>
            <w:shd w:fill="F8FAFC"/>
            <w:tcMar>
              <w:top w:w="70" w:type="dxa"/>
              <w:start w:w="90" w:type="dxa"/>
              <w:bottom w:w="70" w:type="dxa"/>
              <w:end w:w="90" w:type="dxa"/>
            </w:tcMar>
          </w:tcPr>
          <w:p>
            <w:pPr>
              <w:spacing w:after="0"/>
            </w:pPr>
            <w:r>
              <w:rPr>
                <w:color w:val="1F2937"/>
                <w:sz w:val="16"/>
              </w:rPr>
              <w:t>May remain closed source because they communicate with Chatwoot over APIs and do not incorporate enterprise/ code.</w:t>
            </w:r>
          </w:p>
        </w:tc>
      </w:tr>
    </w:tbl>
    <w:p>
      <w:pPr>
        <w:pStyle w:val="Heading2"/>
        <w:keepNext/>
        <w:keepLines/>
        <w:widowControl/>
      </w:pPr>
      <w:r>
        <w:t>4.2 Required compliance controls</w:t>
      </w:r>
    </w:p>
    <w:p>
      <w:pPr>
        <w:pStyle w:val="ListBullet"/>
        <w:spacing w:after="40"/>
        <w:widowControl/>
      </w:pPr>
      <w:r>
        <w:t>Use CE image tags or a CE build that excludes enterprise/.</w:t>
      </w:r>
    </w:p>
    <w:p>
      <w:pPr>
        <w:pStyle w:val="ListBullet"/>
        <w:spacing w:after="40"/>
        <w:widowControl/>
      </w:pPr>
      <w:r>
        <w:t>Include Chatwoot’s MIT notice in the third-party notices package distributed with any appliance, downloadable bundle, or customer-hosted deployment.</w:t>
      </w:r>
    </w:p>
    <w:p>
      <w:pPr>
        <w:pStyle w:val="ListBullet"/>
        <w:spacing w:after="40"/>
        <w:widowControl/>
      </w:pPr>
      <w:r>
        <w:t>Record the exact Chatwoot source tag or commit used for each release.</w:t>
      </w:r>
    </w:p>
    <w:p>
      <w:pPr>
        <w:pStyle w:val="ListBullet"/>
        <w:spacing w:after="40"/>
        <w:widowControl/>
      </w:pPr>
      <w:r>
        <w:t>Generate and archive an SBOM for the Chatwoot image and the support gateway.</w:t>
      </w:r>
    </w:p>
    <w:p>
      <w:pPr>
        <w:pStyle w:val="ListBullet"/>
        <w:spacing w:after="40"/>
        <w:widowControl/>
      </w:pPr>
      <w:r>
        <w:t>Scan Ruby, JavaScript, operating-system, and container dependencies for license and vulnerability issues.</w:t>
      </w:r>
    </w:p>
    <w:p>
      <w:pPr>
        <w:pStyle w:val="ListBullet"/>
        <w:spacing w:after="40"/>
        <w:widowControl/>
      </w:pPr>
      <w:r>
        <w:t>Review trademarks and do not imply that the proprietary application is endorsed by Chatwoot.</w:t>
      </w:r>
    </w:p>
    <w:p>
      <w:pPr>
        <w:pStyle w:val="ListBullet"/>
        <w:spacing w:after="40"/>
        <w:widowControl/>
      </w:pPr>
      <w:r>
        <w:t>Have counsel review the production distribution model, especially for customer-hosted or Sovereign deployments.</w:t>
      </w:r>
    </w:p>
    <w:tbl>
      <w:tblPr>
        <w:tblW w:type="auto" w:w="0"/>
        <w:jc w:val="center"/>
        <w:tblLayout w:type="fixed"/>
        <w:tblLook w:firstColumn="1" w:firstRow="1" w:lastColumn="0" w:lastRow="0" w:noHBand="0" w:noVBand="1" w:val="04A0"/>
      </w:tblPr>
      <w:tblGrid>
        <w:gridCol w:w="115"/>
        <w:gridCol w:w="10008"/>
      </w:tblGrid>
      <w:tr>
        <w:trPr>
          <w:cantSplit/>
        </w:trPr>
        <w:tc>
          <w:tcPr>
            <w:tcW w:type="dxa" w:w="5040"/>
            <w:shd w:fill="B26A00"/>
            <w:tcMar>
              <w:top w:w="0" w:type="dxa"/>
              <w:start w:w="0" w:type="dxa"/>
              <w:bottom w:w="0" w:type="dxa"/>
              <w:end w:w="0" w:type="dxa"/>
            </w:tcMar>
          </w:tcPr>
          <w:p/>
        </w:tc>
        <w:tc>
          <w:tcPr>
            <w:tcW w:type="dxa" w:w="5040"/>
            <w:shd w:fill="FFF4CE"/>
            <w:tcMar>
              <w:top w:w="95" w:type="dxa"/>
              <w:start w:w="130" w:type="dxa"/>
              <w:bottom w:w="95" w:type="dxa"/>
              <w:end w:w="130" w:type="dxa"/>
            </w:tcMar>
          </w:tcPr>
          <w:p>
            <w:pPr>
              <w:spacing w:after="40"/>
            </w:pPr>
            <w:r>
              <w:rPr>
                <w:b/>
                <w:color w:val="B26A00"/>
                <w:sz w:val="19"/>
              </w:rPr>
              <w:t>License boundary</w:t>
            </w:r>
          </w:p>
          <w:p>
            <w:pPr>
              <w:spacing w:after="0" w:line="252" w:lineRule="auto"/>
            </w:pPr>
            <w:r>
              <w:rPr>
                <w:color w:val="1F2937"/>
                <w:sz w:val="18"/>
              </w:rPr>
              <w:t>Do not treat the repository as wholly MIT. The enterprise/ directory is an explicit proprietary boundary. A CE-only deployment plus an external proprietary gateway is the cleanest implementation model.</w:t>
            </w:r>
          </w:p>
        </w:tc>
      </w:tr>
    </w:tbl>
    <w:p>
      <w:pPr>
        <w:pStyle w:val="Heading1"/>
        <w:keepNext/>
        <w:keepLines/>
        <w:widowControl/>
      </w:pPr>
      <w:r>
        <w:t>5. System Architecture</w:t>
      </w:r>
    </w:p>
    <w:p>
      <w:pPr>
        <w:pStyle w:val="Heading2"/>
        <w:keepNext/>
        <w:keepLines/>
        <w:widowControl/>
      </w:pPr>
      <w:r>
        <w:t>5.1 Component responsibilities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7365D"/>
            <w:tcMar>
              <w:top w:w="75" w:type="dxa"/>
              <w:start w:w="90" w:type="dxa"/>
              <w:bottom w:w="75" w:type="dxa"/>
              <w:end w:w="90" w:type="dxa"/>
            </w:tcMar>
          </w:tcPr>
          <w:p>
            <w:pPr>
              <w:jc w:val="left"/>
            </w:pPr>
            <w:r>
              <w:rPr>
                <w:b/>
                <w:color w:val="FFFFFF"/>
                <w:sz w:val="16"/>
              </w:rPr>
              <w:t>Component</w:t>
            </w:r>
          </w:p>
        </w:tc>
        <w:tc>
          <w:tcPr>
            <w:tcW w:type="dxa" w:w="7416"/>
            <w:shd w:fill="17365D"/>
            <w:tcMar>
              <w:top w:w="75" w:type="dxa"/>
              <w:start w:w="90" w:type="dxa"/>
              <w:bottom w:w="75" w:type="dxa"/>
              <w:end w:w="90" w:type="dxa"/>
            </w:tcMar>
          </w:tcPr>
          <w:p>
            <w:pPr>
              <w:jc w:val="left"/>
            </w:pPr>
            <w:r>
              <w:rPr>
                <w:b/>
                <w:color w:val="FFFFFF"/>
                <w:sz w:val="16"/>
              </w:rPr>
              <w:t>Primary responsibilities</w:t>
            </w:r>
          </w:p>
        </w:tc>
      </w:tr>
      <w:tr>
        <w:trPr>
          <w:cantSplit/>
        </w:trPr>
        <w:tc>
          <w:tcPr>
            <w:tcW w:type="dxa" w:w="2232"/>
            <w:tcMar>
              <w:top w:w="70" w:type="dxa"/>
              <w:start w:w="90" w:type="dxa"/>
              <w:bottom w:w="70" w:type="dxa"/>
              <w:end w:w="90" w:type="dxa"/>
            </w:tcMar>
          </w:tcPr>
          <w:p>
            <w:pPr>
              <w:spacing w:after="0"/>
            </w:pPr>
            <w:r>
              <w:rPr>
                <w:color w:val="1F2937"/>
                <w:sz w:val="16"/>
              </w:rPr>
              <w:t>Next.js custom UI</w:t>
            </w:r>
          </w:p>
        </w:tc>
        <w:tc>
          <w:tcPr>
            <w:tcW w:type="dxa" w:w="7416"/>
            <w:tcMar>
              <w:top w:w="70" w:type="dxa"/>
              <w:start w:w="90" w:type="dxa"/>
              <w:bottom w:w="70" w:type="dxa"/>
              <w:end w:w="90" w:type="dxa"/>
            </w:tcMar>
          </w:tcPr>
          <w:p>
            <w:pPr>
              <w:spacing w:after="0"/>
            </w:pPr>
            <w:r>
              <w:rPr>
                <w:color w:val="1F2937"/>
                <w:sz w:val="16"/>
              </w:rPr>
              <w:t>Agent inbox, customer timeline, conversation details, reply composer, assignment controls, status and labels, ticket linking, product-native navigation, accessibility, and responsive design.</w:t>
            </w:r>
          </w:p>
        </w:tc>
      </w:tr>
      <w:tr>
        <w:trPr>
          <w:cantSplit/>
        </w:trPr>
        <w:tc>
          <w:tcPr>
            <w:tcW w:type="dxa" w:w="2232"/>
            <w:shd w:fill="F8FAFC"/>
            <w:tcMar>
              <w:top w:w="70" w:type="dxa"/>
              <w:start w:w="90" w:type="dxa"/>
              <w:bottom w:w="70" w:type="dxa"/>
              <w:end w:w="90" w:type="dxa"/>
            </w:tcMar>
          </w:tcPr>
          <w:p>
            <w:pPr>
              <w:spacing w:after="0"/>
            </w:pPr>
            <w:r>
              <w:rPr>
                <w:color w:val="1F2937"/>
                <w:sz w:val="16"/>
              </w:rPr>
              <w:t>Node support gateway</w:t>
            </w:r>
          </w:p>
        </w:tc>
        <w:tc>
          <w:tcPr>
            <w:tcW w:type="dxa" w:w="7416"/>
            <w:shd w:fill="F8FAFC"/>
            <w:tcMar>
              <w:top w:w="70" w:type="dxa"/>
              <w:start w:w="90" w:type="dxa"/>
              <w:bottom w:w="70" w:type="dxa"/>
              <w:end w:w="90" w:type="dxa"/>
            </w:tcMar>
          </w:tcPr>
          <w:p>
            <w:pPr>
              <w:spacing w:after="0"/>
            </w:pPr>
            <w:r>
              <w:rPr>
                <w:color w:val="1F2937"/>
                <w:sz w:val="16"/>
              </w:rPr>
              <w:t>Authentication, tenant authorization, policy checks, token retrieval, request normalization, Chatwoot API calls, response DTOs, webhooks, event queueing, idempotency, caching, reconciliation, and observability.</w:t>
            </w:r>
          </w:p>
        </w:tc>
      </w:tr>
      <w:tr>
        <w:trPr>
          <w:cantSplit/>
        </w:trPr>
        <w:tc>
          <w:tcPr>
            <w:tcW w:type="dxa" w:w="2232"/>
            <w:tcMar>
              <w:top w:w="70" w:type="dxa"/>
              <w:start w:w="90" w:type="dxa"/>
              <w:bottom w:w="70" w:type="dxa"/>
              <w:end w:w="90" w:type="dxa"/>
            </w:tcMar>
          </w:tcPr>
          <w:p>
            <w:pPr>
              <w:spacing w:after="0"/>
            </w:pPr>
            <w:r>
              <w:rPr>
                <w:color w:val="1F2937"/>
                <w:sz w:val="16"/>
              </w:rPr>
              <w:t>Chatwoot CE</w:t>
            </w:r>
          </w:p>
        </w:tc>
        <w:tc>
          <w:tcPr>
            <w:tcW w:type="dxa" w:w="7416"/>
            <w:tcMar>
              <w:top w:w="70" w:type="dxa"/>
              <w:start w:w="90" w:type="dxa"/>
              <w:bottom w:w="70" w:type="dxa"/>
              <w:end w:w="90" w:type="dxa"/>
            </w:tcMar>
          </w:tcPr>
          <w:p>
            <w:pPr>
              <w:spacing w:after="0"/>
            </w:pPr>
            <w:r>
              <w:rPr>
                <w:color w:val="1F2937"/>
                <w:sz w:val="16"/>
              </w:rPr>
              <w:t>Inboxes, contacts, conversations, messages, attachments, email ingestion, message delivery, channel metadata, assignments, labels, and provider integrations available in CE.</w:t>
            </w:r>
          </w:p>
        </w:tc>
      </w:tr>
      <w:tr>
        <w:trPr>
          <w:cantSplit/>
        </w:trPr>
        <w:tc>
          <w:tcPr>
            <w:tcW w:type="dxa" w:w="2232"/>
            <w:shd w:fill="F8FAFC"/>
            <w:tcMar>
              <w:top w:w="70" w:type="dxa"/>
              <w:start w:w="90" w:type="dxa"/>
              <w:bottom w:w="70" w:type="dxa"/>
              <w:end w:w="90" w:type="dxa"/>
            </w:tcMar>
          </w:tcPr>
          <w:p>
            <w:pPr>
              <w:spacing w:after="0"/>
            </w:pPr>
            <w:r>
              <w:rPr>
                <w:color w:val="1F2937"/>
                <w:sz w:val="16"/>
              </w:rPr>
              <w:t>Proprietary domain services</w:t>
            </w:r>
          </w:p>
        </w:tc>
        <w:tc>
          <w:tcPr>
            <w:tcW w:type="dxa" w:w="7416"/>
            <w:shd w:fill="F8FAFC"/>
            <w:tcMar>
              <w:top w:w="70" w:type="dxa"/>
              <w:start w:w="90" w:type="dxa"/>
              <w:bottom w:w="70" w:type="dxa"/>
              <w:end w:w="90" w:type="dxa"/>
            </w:tcMar>
          </w:tcPr>
          <w:p>
            <w:pPr>
              <w:spacing w:after="0"/>
            </w:pPr>
            <w:r>
              <w:rPr>
                <w:color w:val="1F2937"/>
                <w:sz w:val="16"/>
              </w:rPr>
              <w:t>Tickets, incidents, requests, assets, workflows, SLAs, audit logs, billing, entitlements, AI, and cross-product relationships.</w:t>
            </w:r>
          </w:p>
        </w:tc>
      </w:tr>
      <w:tr>
        <w:trPr>
          <w:cantSplit/>
        </w:trPr>
        <w:tc>
          <w:tcPr>
            <w:tcW w:type="dxa" w:w="2232"/>
            <w:tcMar>
              <w:top w:w="70" w:type="dxa"/>
              <w:start w:w="90" w:type="dxa"/>
              <w:bottom w:w="70" w:type="dxa"/>
              <w:end w:w="90" w:type="dxa"/>
            </w:tcMar>
          </w:tcPr>
          <w:p>
            <w:pPr>
              <w:spacing w:after="0"/>
            </w:pPr>
            <w:r>
              <w:rPr>
                <w:color w:val="1F2937"/>
                <w:sz w:val="16"/>
              </w:rPr>
              <w:t>Infrastructure</w:t>
            </w:r>
          </w:p>
        </w:tc>
        <w:tc>
          <w:tcPr>
            <w:tcW w:type="dxa" w:w="7416"/>
            <w:tcMar>
              <w:top w:w="70" w:type="dxa"/>
              <w:start w:w="90" w:type="dxa"/>
              <w:bottom w:w="70" w:type="dxa"/>
              <w:end w:w="90" w:type="dxa"/>
            </w:tcMar>
          </w:tcPr>
          <w:p>
            <w:pPr>
              <w:spacing w:after="0"/>
            </w:pPr>
            <w:r>
              <w:rPr>
                <w:color w:val="1F2937"/>
                <w:sz w:val="16"/>
              </w:rPr>
              <w:t>PostgreSQL, Redis, Sidekiq workers, object storage, secrets management, ingress, TLS, monitoring, backups, and disaster recovery.</w:t>
            </w:r>
          </w:p>
        </w:tc>
      </w:tr>
    </w:tbl>
    <w:p>
      <w:pPr>
        <w:pStyle w:val="Heading2"/>
        <w:keepNext/>
        <w:keepLines/>
        <w:widowControl/>
      </w:pPr>
      <w:r>
        <w:t>5.2 Trust boundaries</w:t>
      </w:r>
    </w:p>
    <w:p>
      <w:pPr>
        <w:pStyle w:val="ListBullet"/>
        <w:spacing w:after="40"/>
        <w:widowControl/>
      </w:pPr>
      <w:r>
        <w:t>The browser trusts only the proprietary application origin and never receives a Chatwoot administrator, platform, or agent access token.</w:t>
      </w:r>
    </w:p>
    <w:p>
      <w:pPr>
        <w:pStyle w:val="ListBullet"/>
        <w:spacing w:after="40"/>
        <w:widowControl/>
      </w:pPr>
      <w:r>
        <w:t>The support gateway validates the product session, tenant, role, object access, and requested action before contacting Chatwoot.</w:t>
      </w:r>
    </w:p>
    <w:p>
      <w:pPr>
        <w:pStyle w:val="ListBullet"/>
        <w:spacing w:after="40"/>
        <w:widowControl/>
      </w:pPr>
      <w:r>
        <w:t>Chatwoot is reachable only from approved gateway, worker, administrator, and operations networks.</w:t>
      </w:r>
    </w:p>
    <w:p>
      <w:pPr>
        <w:pStyle w:val="ListBullet"/>
        <w:spacing w:after="40"/>
        <w:widowControl/>
      </w:pPr>
      <w:r>
        <w:t>The Platform App token is isolated from day-to-day message operations and available only to provisioning workflows.</w:t>
      </w:r>
    </w:p>
    <w:p>
      <w:pPr>
        <w:pStyle w:val="ListBullet"/>
        <w:spacing w:after="40"/>
        <w:widowControl/>
      </w:pPr>
      <w:r>
        <w:t>Webhook traffic is authenticated, replay-protected, deduplicated, and processed asynchronously.</w:t>
      </w:r>
    </w:p>
    <w:p>
      <w:pPr>
        <w:pStyle w:val="Heading2"/>
        <w:keepNext/>
        <w:keepLines/>
        <w:widowControl/>
      </w:pPr>
      <w:r>
        <w:t>5.3 Availability behavior</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17365D"/>
            <w:tcMar>
              <w:top w:w="75" w:type="dxa"/>
              <w:start w:w="90" w:type="dxa"/>
              <w:bottom w:w="75" w:type="dxa"/>
              <w:end w:w="90" w:type="dxa"/>
            </w:tcMar>
          </w:tcPr>
          <w:p>
            <w:pPr>
              <w:jc w:val="left"/>
            </w:pPr>
            <w:r>
              <w:rPr>
                <w:b/>
                <w:color w:val="FFFFFF"/>
                <w:sz w:val="16"/>
              </w:rPr>
              <w:t>Condition</w:t>
            </w:r>
          </w:p>
        </w:tc>
        <w:tc>
          <w:tcPr>
            <w:tcW w:type="dxa" w:w="7344"/>
            <w:shd w:fill="17365D"/>
            <w:tcMar>
              <w:top w:w="75" w:type="dxa"/>
              <w:start w:w="90" w:type="dxa"/>
              <w:bottom w:w="75" w:type="dxa"/>
              <w:end w:w="90" w:type="dxa"/>
            </w:tcMar>
          </w:tcPr>
          <w:p>
            <w:pPr>
              <w:jc w:val="left"/>
            </w:pPr>
            <w:r>
              <w:rPr>
                <w:b/>
                <w:color w:val="FFFFFF"/>
                <w:sz w:val="16"/>
              </w:rPr>
              <w:t>Expected product behavior</w:t>
            </w:r>
          </w:p>
        </w:tc>
      </w:tr>
      <w:tr>
        <w:trPr>
          <w:cantSplit/>
        </w:trPr>
        <w:tc>
          <w:tcPr>
            <w:tcW w:type="dxa" w:w="2304"/>
            <w:tcMar>
              <w:top w:w="70" w:type="dxa"/>
              <w:start w:w="90" w:type="dxa"/>
              <w:bottom w:w="70" w:type="dxa"/>
              <w:end w:w="90" w:type="dxa"/>
            </w:tcMar>
          </w:tcPr>
          <w:p>
            <w:pPr>
              <w:spacing w:after="0"/>
            </w:pPr>
            <w:r>
              <w:rPr>
                <w:color w:val="1F2937"/>
                <w:sz w:val="16"/>
              </w:rPr>
              <w:t>Chatwoot healthy</w:t>
            </w:r>
          </w:p>
        </w:tc>
        <w:tc>
          <w:tcPr>
            <w:tcW w:type="dxa" w:w="7344"/>
            <w:tcMar>
              <w:top w:w="70" w:type="dxa"/>
              <w:start w:w="90" w:type="dxa"/>
              <w:bottom w:w="70" w:type="dxa"/>
              <w:end w:w="90" w:type="dxa"/>
            </w:tcMar>
          </w:tcPr>
          <w:p>
            <w:pPr>
              <w:spacing w:after="0"/>
            </w:pPr>
            <w:r>
              <w:rPr>
                <w:color w:val="1F2937"/>
                <w:sz w:val="16"/>
              </w:rPr>
              <w:t>Read and write operations proceed normally through the gateway.</w:t>
            </w:r>
          </w:p>
        </w:tc>
      </w:tr>
      <w:tr>
        <w:trPr>
          <w:cantSplit/>
        </w:trPr>
        <w:tc>
          <w:tcPr>
            <w:tcW w:type="dxa" w:w="2304"/>
            <w:shd w:fill="F8FAFC"/>
            <w:tcMar>
              <w:top w:w="70" w:type="dxa"/>
              <w:start w:w="90" w:type="dxa"/>
              <w:bottom w:w="70" w:type="dxa"/>
              <w:end w:w="90" w:type="dxa"/>
            </w:tcMar>
          </w:tcPr>
          <w:p>
            <w:pPr>
              <w:spacing w:after="0"/>
            </w:pPr>
            <w:r>
              <w:rPr>
                <w:color w:val="1F2937"/>
                <w:sz w:val="16"/>
              </w:rPr>
              <w:t>Chatwoot read timeout</w:t>
            </w:r>
          </w:p>
        </w:tc>
        <w:tc>
          <w:tcPr>
            <w:tcW w:type="dxa" w:w="7344"/>
            <w:shd w:fill="F8FAFC"/>
            <w:tcMar>
              <w:top w:w="70" w:type="dxa"/>
              <w:start w:w="90" w:type="dxa"/>
              <w:bottom w:w="70" w:type="dxa"/>
              <w:end w:w="90" w:type="dxa"/>
            </w:tcMar>
          </w:tcPr>
          <w:p>
            <w:pPr>
              <w:spacing w:after="0"/>
            </w:pPr>
            <w:r>
              <w:rPr>
                <w:color w:val="1F2937"/>
                <w:sz w:val="16"/>
              </w:rPr>
              <w:t>Serve a recent local read model where appropriate, show data freshness, and retry using bounded backoff.</w:t>
            </w:r>
          </w:p>
        </w:tc>
      </w:tr>
      <w:tr>
        <w:trPr>
          <w:cantSplit/>
        </w:trPr>
        <w:tc>
          <w:tcPr>
            <w:tcW w:type="dxa" w:w="2304"/>
            <w:tcMar>
              <w:top w:w="70" w:type="dxa"/>
              <w:start w:w="90" w:type="dxa"/>
              <w:bottom w:w="70" w:type="dxa"/>
              <w:end w:w="90" w:type="dxa"/>
            </w:tcMar>
          </w:tcPr>
          <w:p>
            <w:pPr>
              <w:spacing w:after="0"/>
            </w:pPr>
            <w:r>
              <w:rPr>
                <w:color w:val="1F2937"/>
                <w:sz w:val="16"/>
              </w:rPr>
              <w:t>Chatwoot write timeout</w:t>
            </w:r>
          </w:p>
        </w:tc>
        <w:tc>
          <w:tcPr>
            <w:tcW w:type="dxa" w:w="7344"/>
            <w:tcMar>
              <w:top w:w="70" w:type="dxa"/>
              <w:start w:w="90" w:type="dxa"/>
              <w:bottom w:w="70" w:type="dxa"/>
              <w:end w:w="90" w:type="dxa"/>
            </w:tcMar>
          </w:tcPr>
          <w:p>
            <w:pPr>
              <w:spacing w:after="0"/>
            </w:pPr>
            <w:r>
              <w:rPr>
                <w:color w:val="1F2937"/>
                <w:sz w:val="16"/>
              </w:rPr>
              <w:t>Do not blindly duplicate writes. Use an idempotency record and reconcile before retrying.</w:t>
            </w:r>
          </w:p>
        </w:tc>
      </w:tr>
      <w:tr>
        <w:trPr>
          <w:cantSplit/>
        </w:trPr>
        <w:tc>
          <w:tcPr>
            <w:tcW w:type="dxa" w:w="2304"/>
            <w:shd w:fill="F8FAFC"/>
            <w:tcMar>
              <w:top w:w="70" w:type="dxa"/>
              <w:start w:w="90" w:type="dxa"/>
              <w:bottom w:w="70" w:type="dxa"/>
              <w:end w:w="90" w:type="dxa"/>
            </w:tcMar>
          </w:tcPr>
          <w:p>
            <w:pPr>
              <w:spacing w:after="0"/>
            </w:pPr>
            <w:r>
              <w:rPr>
                <w:color w:val="1F2937"/>
                <w:sz w:val="16"/>
              </w:rPr>
              <w:t>Webhook delay or loss</w:t>
            </w:r>
          </w:p>
        </w:tc>
        <w:tc>
          <w:tcPr>
            <w:tcW w:type="dxa" w:w="7344"/>
            <w:shd w:fill="F8FAFC"/>
            <w:tcMar>
              <w:top w:w="70" w:type="dxa"/>
              <w:start w:w="90" w:type="dxa"/>
              <w:bottom w:w="70" w:type="dxa"/>
              <w:end w:w="90" w:type="dxa"/>
            </w:tcMar>
          </w:tcPr>
          <w:p>
            <w:pPr>
              <w:spacing w:after="0"/>
            </w:pPr>
            <w:r>
              <w:rPr>
                <w:color w:val="1F2937"/>
                <w:sz w:val="16"/>
              </w:rPr>
              <w:t>Periodic reconciliation compares provider state with the local read model.</w:t>
            </w:r>
          </w:p>
        </w:tc>
      </w:tr>
      <w:tr>
        <w:trPr>
          <w:cantSplit/>
        </w:trPr>
        <w:tc>
          <w:tcPr>
            <w:tcW w:type="dxa" w:w="2304"/>
            <w:tcMar>
              <w:top w:w="70" w:type="dxa"/>
              <w:start w:w="90" w:type="dxa"/>
              <w:bottom w:w="70" w:type="dxa"/>
              <w:end w:w="90" w:type="dxa"/>
            </w:tcMar>
          </w:tcPr>
          <w:p>
            <w:pPr>
              <w:spacing w:after="0"/>
            </w:pPr>
            <w:r>
              <w:rPr>
                <w:color w:val="1F2937"/>
                <w:sz w:val="16"/>
              </w:rPr>
              <w:t>Chatwoot outage</w:t>
            </w:r>
          </w:p>
        </w:tc>
        <w:tc>
          <w:tcPr>
            <w:tcW w:type="dxa" w:w="7344"/>
            <w:tcMar>
              <w:top w:w="70" w:type="dxa"/>
              <w:start w:w="90" w:type="dxa"/>
              <w:bottom w:w="70" w:type="dxa"/>
              <w:end w:w="90" w:type="dxa"/>
            </w:tcMar>
          </w:tcPr>
          <w:p>
            <w:pPr>
              <w:spacing w:after="0"/>
            </w:pPr>
            <w:r>
              <w:rPr>
                <w:color w:val="1F2937"/>
                <w:sz w:val="16"/>
              </w:rPr>
              <w:t>The product remains accessible; support actions are disabled or queued according to risk, and status is visible to administrators.</w:t>
            </w:r>
          </w:p>
        </w:tc>
      </w:tr>
    </w:tbl>
    <w:p>
      <w:pPr>
        <w:pStyle w:val="Heading1"/>
        <w:keepNext/>
        <w:keepLines/>
        <w:widowControl/>
      </w:pPr>
      <w:r>
        <w:t>6. Chatwoot API Strategy</w:t>
      </w:r>
    </w:p>
    <w:p>
      <w:pPr>
        <w:widowControl/>
      </w:pPr>
      <w:r>
        <w:t>Chatwoot documents three API families: Application APIs, Client APIs, and Platform APIs. [3][4] Each family serves a different trust and user model.</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656"/>
            <w:shd w:fill="17365D"/>
            <w:tcMar>
              <w:top w:w="75" w:type="dxa"/>
              <w:start w:w="90" w:type="dxa"/>
              <w:bottom w:w="75" w:type="dxa"/>
              <w:end w:w="90" w:type="dxa"/>
            </w:tcMar>
          </w:tcPr>
          <w:p>
            <w:pPr>
              <w:jc w:val="left"/>
            </w:pPr>
            <w:r>
              <w:rPr>
                <w:b/>
                <w:color w:val="FFFFFF"/>
                <w:sz w:val="16"/>
              </w:rPr>
              <w:t>API family</w:t>
            </w:r>
          </w:p>
        </w:tc>
        <w:tc>
          <w:tcPr>
            <w:tcW w:type="dxa" w:w="4752"/>
            <w:shd w:fill="17365D"/>
            <w:tcMar>
              <w:top w:w="75" w:type="dxa"/>
              <w:start w:w="90" w:type="dxa"/>
              <w:bottom w:w="75" w:type="dxa"/>
              <w:end w:w="90" w:type="dxa"/>
            </w:tcMar>
          </w:tcPr>
          <w:p>
            <w:pPr>
              <w:jc w:val="left"/>
            </w:pPr>
            <w:r>
              <w:rPr>
                <w:b/>
                <w:color w:val="FFFFFF"/>
                <w:sz w:val="16"/>
              </w:rPr>
              <w:t>Use in this implementation</w:t>
            </w:r>
          </w:p>
        </w:tc>
        <w:tc>
          <w:tcPr>
            <w:tcW w:type="dxa" w:w="2232"/>
            <w:shd w:fill="17365D"/>
            <w:tcMar>
              <w:top w:w="75" w:type="dxa"/>
              <w:start w:w="90" w:type="dxa"/>
              <w:bottom w:w="75" w:type="dxa"/>
              <w:end w:w="90" w:type="dxa"/>
            </w:tcMar>
          </w:tcPr>
          <w:p>
            <w:pPr>
              <w:jc w:val="left"/>
            </w:pPr>
            <w:r>
              <w:rPr>
                <w:b/>
                <w:color w:val="FFFFFF"/>
                <w:sz w:val="16"/>
              </w:rPr>
              <w:t>Authentication</w:t>
            </w:r>
          </w:p>
        </w:tc>
        <w:tc>
          <w:tcPr>
            <w:tcW w:type="dxa" w:w="1296"/>
            <w:shd w:fill="17365D"/>
            <w:tcMar>
              <w:top w:w="75" w:type="dxa"/>
              <w:start w:w="90" w:type="dxa"/>
              <w:bottom w:w="75" w:type="dxa"/>
              <w:end w:w="90" w:type="dxa"/>
            </w:tcMar>
          </w:tcPr>
          <w:p>
            <w:pPr>
              <w:jc w:val="left"/>
            </w:pPr>
            <w:r>
              <w:rPr>
                <w:b/>
                <w:color w:val="FFFFFF"/>
                <w:sz w:val="16"/>
              </w:rPr>
              <w:t>Availability</w:t>
            </w:r>
          </w:p>
        </w:tc>
      </w:tr>
      <w:tr>
        <w:trPr>
          <w:cantSplit/>
        </w:trPr>
        <w:tc>
          <w:tcPr>
            <w:tcW w:type="dxa" w:w="1656"/>
            <w:tcMar>
              <w:top w:w="70" w:type="dxa"/>
              <w:start w:w="90" w:type="dxa"/>
              <w:bottom w:w="70" w:type="dxa"/>
              <w:end w:w="90" w:type="dxa"/>
            </w:tcMar>
          </w:tcPr>
          <w:p>
            <w:pPr>
              <w:spacing w:after="0"/>
            </w:pPr>
            <w:r>
              <w:rPr>
                <w:color w:val="1F2937"/>
                <w:sz w:val="16"/>
              </w:rPr>
              <w:t>Application API</w:t>
            </w:r>
          </w:p>
        </w:tc>
        <w:tc>
          <w:tcPr>
            <w:tcW w:type="dxa" w:w="4752"/>
            <w:tcMar>
              <w:top w:w="70" w:type="dxa"/>
              <w:start w:w="90" w:type="dxa"/>
              <w:bottom w:w="70" w:type="dxa"/>
              <w:end w:w="90" w:type="dxa"/>
            </w:tcMar>
          </w:tcPr>
          <w:p>
            <w:pPr>
              <w:spacing w:after="0"/>
            </w:pPr>
            <w:r>
              <w:rPr>
                <w:color w:val="1F2937"/>
                <w:sz w:val="16"/>
              </w:rPr>
              <w:t>Primary API for agent-facing operations: conversations, messages, contacts, inboxes, assignments, labels, status, priority, webhooks, and reports.</w:t>
            </w:r>
          </w:p>
        </w:tc>
        <w:tc>
          <w:tcPr>
            <w:tcW w:type="dxa" w:w="2232"/>
            <w:tcMar>
              <w:top w:w="70" w:type="dxa"/>
              <w:start w:w="90" w:type="dxa"/>
              <w:bottom w:w="70" w:type="dxa"/>
              <w:end w:w="90" w:type="dxa"/>
            </w:tcMar>
          </w:tcPr>
          <w:p>
            <w:pPr>
              <w:spacing w:after="0"/>
            </w:pPr>
            <w:r>
              <w:rPr>
                <w:color w:val="1F2937"/>
                <w:sz w:val="16"/>
              </w:rPr>
              <w:t>Per-user Chatwoot access token presented through the gateway.</w:t>
            </w:r>
          </w:p>
        </w:tc>
        <w:tc>
          <w:tcPr>
            <w:tcW w:type="dxa" w:w="1296"/>
            <w:tcMar>
              <w:top w:w="70" w:type="dxa"/>
              <w:start w:w="90" w:type="dxa"/>
              <w:bottom w:w="70" w:type="dxa"/>
              <w:end w:w="90" w:type="dxa"/>
            </w:tcMar>
          </w:tcPr>
          <w:p>
            <w:pPr>
              <w:spacing w:after="0"/>
            </w:pPr>
            <w:r>
              <w:rPr>
                <w:color w:val="1F2937"/>
                <w:sz w:val="16"/>
              </w:rPr>
              <w:t>Cloud and self-hosted.</w:t>
            </w:r>
          </w:p>
        </w:tc>
      </w:tr>
      <w:tr>
        <w:trPr>
          <w:cantSplit/>
        </w:trPr>
        <w:tc>
          <w:tcPr>
            <w:tcW w:type="dxa" w:w="1656"/>
            <w:shd w:fill="F8FAFC"/>
            <w:tcMar>
              <w:top w:w="70" w:type="dxa"/>
              <w:start w:w="90" w:type="dxa"/>
              <w:bottom w:w="70" w:type="dxa"/>
              <w:end w:w="90" w:type="dxa"/>
            </w:tcMar>
          </w:tcPr>
          <w:p>
            <w:pPr>
              <w:spacing w:after="0"/>
            </w:pPr>
            <w:r>
              <w:rPr>
                <w:color w:val="1F2937"/>
                <w:sz w:val="16"/>
              </w:rPr>
              <w:t>Client API</w:t>
            </w:r>
          </w:p>
        </w:tc>
        <w:tc>
          <w:tcPr>
            <w:tcW w:type="dxa" w:w="4752"/>
            <w:shd w:fill="F8FAFC"/>
            <w:tcMar>
              <w:top w:w="70" w:type="dxa"/>
              <w:start w:w="90" w:type="dxa"/>
              <w:bottom w:w="70" w:type="dxa"/>
              <w:end w:w="90" w:type="dxa"/>
            </w:tcMar>
          </w:tcPr>
          <w:p>
            <w:pPr>
              <w:spacing w:after="0"/>
            </w:pPr>
            <w:r>
              <w:rPr>
                <w:color w:val="1F2937"/>
                <w:sz w:val="16"/>
              </w:rPr>
              <w:t>Optional API for a fully custom customer chat surface or replacement for the standard website widget.</w:t>
            </w:r>
          </w:p>
        </w:tc>
        <w:tc>
          <w:tcPr>
            <w:tcW w:type="dxa" w:w="2232"/>
            <w:shd w:fill="F8FAFC"/>
            <w:tcMar>
              <w:top w:w="70" w:type="dxa"/>
              <w:start w:w="90" w:type="dxa"/>
              <w:bottom w:w="70" w:type="dxa"/>
              <w:end w:w="90" w:type="dxa"/>
            </w:tcMar>
          </w:tcPr>
          <w:p>
            <w:pPr>
              <w:spacing w:after="0"/>
            </w:pPr>
            <w:r>
              <w:rPr>
                <w:color w:val="1F2937"/>
                <w:sz w:val="16"/>
              </w:rPr>
              <w:t>Inbox identifier plus contact identifier.</w:t>
            </w:r>
          </w:p>
        </w:tc>
        <w:tc>
          <w:tcPr>
            <w:tcW w:type="dxa" w:w="1296"/>
            <w:shd w:fill="F8FAFC"/>
            <w:tcMar>
              <w:top w:w="70" w:type="dxa"/>
              <w:start w:w="90" w:type="dxa"/>
              <w:bottom w:w="70" w:type="dxa"/>
              <w:end w:w="90" w:type="dxa"/>
            </w:tcMar>
          </w:tcPr>
          <w:p>
            <w:pPr>
              <w:spacing w:after="0"/>
            </w:pPr>
            <w:r>
              <w:rPr>
                <w:color w:val="1F2937"/>
                <w:sz w:val="16"/>
              </w:rPr>
              <w:t>Cloud and self-hosted.</w:t>
            </w:r>
          </w:p>
        </w:tc>
      </w:tr>
      <w:tr>
        <w:trPr>
          <w:cantSplit/>
        </w:trPr>
        <w:tc>
          <w:tcPr>
            <w:tcW w:type="dxa" w:w="1656"/>
            <w:tcMar>
              <w:top w:w="70" w:type="dxa"/>
              <w:start w:w="90" w:type="dxa"/>
              <w:bottom w:w="70" w:type="dxa"/>
              <w:end w:w="90" w:type="dxa"/>
            </w:tcMar>
          </w:tcPr>
          <w:p>
            <w:pPr>
              <w:spacing w:after="0"/>
            </w:pPr>
            <w:r>
              <w:rPr>
                <w:color w:val="1F2937"/>
                <w:sz w:val="16"/>
              </w:rPr>
              <w:t>Platform API</w:t>
            </w:r>
          </w:p>
        </w:tc>
        <w:tc>
          <w:tcPr>
            <w:tcW w:type="dxa" w:w="4752"/>
            <w:tcMar>
              <w:top w:w="70" w:type="dxa"/>
              <w:start w:w="90" w:type="dxa"/>
              <w:bottom w:w="70" w:type="dxa"/>
              <w:end w:w="90" w:type="dxa"/>
            </w:tcMar>
          </w:tcPr>
          <w:p>
            <w:pPr>
              <w:spacing w:after="0"/>
            </w:pPr>
            <w:r>
              <w:rPr>
                <w:color w:val="1F2937"/>
                <w:sz w:val="16"/>
              </w:rPr>
              <w:t>Provision Chatwoot accounts, users, memberships, and roles; synchronize identity; obtain agent tokens where supported.</w:t>
            </w:r>
          </w:p>
        </w:tc>
        <w:tc>
          <w:tcPr>
            <w:tcW w:type="dxa" w:w="2232"/>
            <w:tcMar>
              <w:top w:w="70" w:type="dxa"/>
              <w:start w:w="90" w:type="dxa"/>
              <w:bottom w:w="70" w:type="dxa"/>
              <w:end w:w="90" w:type="dxa"/>
            </w:tcMar>
          </w:tcPr>
          <w:p>
            <w:pPr>
              <w:spacing w:after="0"/>
            </w:pPr>
            <w:r>
              <w:rPr>
                <w:color w:val="1F2937"/>
                <w:sz w:val="16"/>
              </w:rPr>
              <w:t>Platform App access token.</w:t>
            </w:r>
          </w:p>
        </w:tc>
        <w:tc>
          <w:tcPr>
            <w:tcW w:type="dxa" w:w="1296"/>
            <w:tcMar>
              <w:top w:w="70" w:type="dxa"/>
              <w:start w:w="90" w:type="dxa"/>
              <w:bottom w:w="70" w:type="dxa"/>
              <w:end w:w="90" w:type="dxa"/>
            </w:tcMar>
          </w:tcPr>
          <w:p>
            <w:pPr>
              <w:spacing w:after="0"/>
            </w:pPr>
            <w:r>
              <w:rPr>
                <w:color w:val="1F2937"/>
                <w:sz w:val="16"/>
              </w:rPr>
              <w:t>Self-hosted only.</w:t>
            </w:r>
          </w:p>
        </w:tc>
      </w:tr>
    </w:tbl>
    <w:p>
      <w:pPr>
        <w:pStyle w:val="Heading2"/>
        <w:keepNext/>
        <w:keepLines/>
        <w:widowControl/>
      </w:pPr>
      <w:r>
        <w:t>6.1 Application API usage</w:t>
      </w:r>
    </w:p>
    <w:p>
      <w:pPr>
        <w:widowControl/>
      </w:pPr>
      <w:r>
        <w:t>The gateway should use the Application API for ordinary agent operations. Chatwoot documents that user access tokens operate according to the permissions of the associated user. [3]</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816"/>
            <w:shd w:fill="17365D"/>
            <w:tcMar>
              <w:top w:w="75" w:type="dxa"/>
              <w:start w:w="90" w:type="dxa"/>
              <w:bottom w:w="75" w:type="dxa"/>
              <w:end w:w="90" w:type="dxa"/>
            </w:tcMar>
          </w:tcPr>
          <w:p>
            <w:pPr>
              <w:jc w:val="left"/>
            </w:pPr>
            <w:r>
              <w:rPr>
                <w:b/>
                <w:color w:val="FFFFFF"/>
                <w:sz w:val="16"/>
              </w:rPr>
              <w:t>Proprietary endpoint</w:t>
            </w:r>
          </w:p>
        </w:tc>
        <w:tc>
          <w:tcPr>
            <w:tcW w:type="dxa" w:w="5832"/>
            <w:shd w:fill="17365D"/>
            <w:tcMar>
              <w:top w:w="75" w:type="dxa"/>
              <w:start w:w="90" w:type="dxa"/>
              <w:bottom w:w="75" w:type="dxa"/>
              <w:end w:w="90" w:type="dxa"/>
            </w:tcMar>
          </w:tcPr>
          <w:p>
            <w:pPr>
              <w:jc w:val="left"/>
            </w:pPr>
            <w:r>
              <w:rPr>
                <w:b/>
                <w:color w:val="FFFFFF"/>
                <w:sz w:val="16"/>
              </w:rPr>
              <w:t>Chatwoot capability</w:t>
            </w:r>
          </w:p>
        </w:tc>
      </w:tr>
      <w:tr>
        <w:trPr>
          <w:cantSplit/>
        </w:trPr>
        <w:tc>
          <w:tcPr>
            <w:tcW w:type="dxa" w:w="3816"/>
            <w:tcMar>
              <w:top w:w="70" w:type="dxa"/>
              <w:start w:w="90" w:type="dxa"/>
              <w:bottom w:w="70" w:type="dxa"/>
              <w:end w:w="90" w:type="dxa"/>
            </w:tcMar>
          </w:tcPr>
          <w:p>
            <w:pPr>
              <w:spacing w:after="0"/>
            </w:pPr>
            <w:r>
              <w:rPr>
                <w:color w:val="1F2937"/>
                <w:sz w:val="16"/>
              </w:rPr>
              <w:t>GET /support/conversations</w:t>
            </w:r>
          </w:p>
        </w:tc>
        <w:tc>
          <w:tcPr>
            <w:tcW w:type="dxa" w:w="5832"/>
            <w:tcMar>
              <w:top w:w="70" w:type="dxa"/>
              <w:start w:w="90" w:type="dxa"/>
              <w:bottom w:w="70" w:type="dxa"/>
              <w:end w:w="90" w:type="dxa"/>
            </w:tcMar>
          </w:tcPr>
          <w:p>
            <w:pPr>
              <w:spacing w:after="0"/>
            </w:pPr>
            <w:r>
              <w:rPr>
                <w:color w:val="1F2937"/>
                <w:sz w:val="16"/>
              </w:rPr>
              <w:t>List, paginate, search, and filter conversations.</w:t>
            </w:r>
          </w:p>
        </w:tc>
      </w:tr>
      <w:tr>
        <w:trPr>
          <w:cantSplit/>
        </w:trPr>
        <w:tc>
          <w:tcPr>
            <w:tcW w:type="dxa" w:w="3816"/>
            <w:shd w:fill="F8FAFC"/>
            <w:tcMar>
              <w:top w:w="70" w:type="dxa"/>
              <w:start w:w="90" w:type="dxa"/>
              <w:bottom w:w="70" w:type="dxa"/>
              <w:end w:w="90" w:type="dxa"/>
            </w:tcMar>
          </w:tcPr>
          <w:p>
            <w:pPr>
              <w:spacing w:after="0"/>
            </w:pPr>
            <w:r>
              <w:rPr>
                <w:color w:val="1F2937"/>
                <w:sz w:val="16"/>
              </w:rPr>
              <w:t>GET /support/conversations/{id}</w:t>
            </w:r>
          </w:p>
        </w:tc>
        <w:tc>
          <w:tcPr>
            <w:tcW w:type="dxa" w:w="5832"/>
            <w:shd w:fill="F8FAFC"/>
            <w:tcMar>
              <w:top w:w="70" w:type="dxa"/>
              <w:start w:w="90" w:type="dxa"/>
              <w:bottom w:w="70" w:type="dxa"/>
              <w:end w:w="90" w:type="dxa"/>
            </w:tcMar>
          </w:tcPr>
          <w:p>
            <w:pPr>
              <w:spacing w:after="0"/>
            </w:pPr>
            <w:r>
              <w:rPr>
                <w:color w:val="1F2937"/>
                <w:sz w:val="16"/>
              </w:rPr>
              <w:t>Retrieve normalized conversation details.</w:t>
            </w:r>
          </w:p>
        </w:tc>
      </w:tr>
      <w:tr>
        <w:trPr>
          <w:cantSplit/>
        </w:trPr>
        <w:tc>
          <w:tcPr>
            <w:tcW w:type="dxa" w:w="3816"/>
            <w:tcMar>
              <w:top w:w="70" w:type="dxa"/>
              <w:start w:w="90" w:type="dxa"/>
              <w:bottom w:w="70" w:type="dxa"/>
              <w:end w:w="90" w:type="dxa"/>
            </w:tcMar>
          </w:tcPr>
          <w:p>
            <w:pPr>
              <w:spacing w:after="0"/>
            </w:pPr>
            <w:r>
              <w:rPr>
                <w:color w:val="1F2937"/>
                <w:sz w:val="16"/>
              </w:rPr>
              <w:t>GET /support/conversations/{id}/messages</w:t>
            </w:r>
          </w:p>
        </w:tc>
        <w:tc>
          <w:tcPr>
            <w:tcW w:type="dxa" w:w="5832"/>
            <w:tcMar>
              <w:top w:w="70" w:type="dxa"/>
              <w:start w:w="90" w:type="dxa"/>
              <w:bottom w:w="70" w:type="dxa"/>
              <w:end w:w="90" w:type="dxa"/>
            </w:tcMar>
          </w:tcPr>
          <w:p>
            <w:pPr>
              <w:spacing w:after="0"/>
            </w:pPr>
            <w:r>
              <w:rPr>
                <w:color w:val="1F2937"/>
                <w:sz w:val="16"/>
              </w:rPr>
              <w:t>Retrieve messages using provider pagination.</w:t>
            </w:r>
          </w:p>
        </w:tc>
      </w:tr>
      <w:tr>
        <w:trPr>
          <w:cantSplit/>
        </w:trPr>
        <w:tc>
          <w:tcPr>
            <w:tcW w:type="dxa" w:w="3816"/>
            <w:shd w:fill="F8FAFC"/>
            <w:tcMar>
              <w:top w:w="70" w:type="dxa"/>
              <w:start w:w="90" w:type="dxa"/>
              <w:bottom w:w="70" w:type="dxa"/>
              <w:end w:w="90" w:type="dxa"/>
            </w:tcMar>
          </w:tcPr>
          <w:p>
            <w:pPr>
              <w:spacing w:after="0"/>
            </w:pPr>
            <w:r>
              <w:rPr>
                <w:color w:val="1F2937"/>
                <w:sz w:val="16"/>
              </w:rPr>
              <w:t>POST /support/conversations/{id}/replies</w:t>
            </w:r>
          </w:p>
        </w:tc>
        <w:tc>
          <w:tcPr>
            <w:tcW w:type="dxa" w:w="5832"/>
            <w:shd w:fill="F8FAFC"/>
            <w:tcMar>
              <w:top w:w="70" w:type="dxa"/>
              <w:start w:w="90" w:type="dxa"/>
              <w:bottom w:w="70" w:type="dxa"/>
              <w:end w:w="90" w:type="dxa"/>
            </w:tcMar>
          </w:tcPr>
          <w:p>
            <w:pPr>
              <w:spacing w:after="0"/>
            </w:pPr>
            <w:r>
              <w:rPr>
                <w:color w:val="1F2937"/>
                <w:sz w:val="16"/>
              </w:rPr>
              <w:t>Create an outgoing public message, optionally with attachments.</w:t>
            </w:r>
          </w:p>
        </w:tc>
      </w:tr>
      <w:tr>
        <w:trPr>
          <w:cantSplit/>
        </w:trPr>
        <w:tc>
          <w:tcPr>
            <w:tcW w:type="dxa" w:w="3816"/>
            <w:tcMar>
              <w:top w:w="70" w:type="dxa"/>
              <w:start w:w="90" w:type="dxa"/>
              <w:bottom w:w="70" w:type="dxa"/>
              <w:end w:w="90" w:type="dxa"/>
            </w:tcMar>
          </w:tcPr>
          <w:p>
            <w:pPr>
              <w:spacing w:after="0"/>
            </w:pPr>
            <w:r>
              <w:rPr>
                <w:color w:val="1F2937"/>
                <w:sz w:val="16"/>
              </w:rPr>
              <w:t>POST /support/conversations/{id}/notes</w:t>
            </w:r>
          </w:p>
        </w:tc>
        <w:tc>
          <w:tcPr>
            <w:tcW w:type="dxa" w:w="5832"/>
            <w:tcMar>
              <w:top w:w="70" w:type="dxa"/>
              <w:start w:w="90" w:type="dxa"/>
              <w:bottom w:w="70" w:type="dxa"/>
              <w:end w:w="90" w:type="dxa"/>
            </w:tcMar>
          </w:tcPr>
          <w:p>
            <w:pPr>
              <w:spacing w:after="0"/>
            </w:pPr>
            <w:r>
              <w:rPr>
                <w:color w:val="1F2937"/>
                <w:sz w:val="16"/>
              </w:rPr>
              <w:t>Create a private agent note.</w:t>
            </w:r>
          </w:p>
        </w:tc>
      </w:tr>
      <w:tr>
        <w:trPr>
          <w:cantSplit/>
        </w:trPr>
        <w:tc>
          <w:tcPr>
            <w:tcW w:type="dxa" w:w="3816"/>
            <w:shd w:fill="F8FAFC"/>
            <w:tcMar>
              <w:top w:w="70" w:type="dxa"/>
              <w:start w:w="90" w:type="dxa"/>
              <w:bottom w:w="70" w:type="dxa"/>
              <w:end w:w="90" w:type="dxa"/>
            </w:tcMar>
          </w:tcPr>
          <w:p>
            <w:pPr>
              <w:spacing w:after="0"/>
            </w:pPr>
            <w:r>
              <w:rPr>
                <w:color w:val="1F2937"/>
                <w:sz w:val="16"/>
              </w:rPr>
              <w:t>PATCH /support/conversations/{id}/status</w:t>
            </w:r>
          </w:p>
        </w:tc>
        <w:tc>
          <w:tcPr>
            <w:tcW w:type="dxa" w:w="5832"/>
            <w:shd w:fill="F8FAFC"/>
            <w:tcMar>
              <w:top w:w="70" w:type="dxa"/>
              <w:start w:w="90" w:type="dxa"/>
              <w:bottom w:w="70" w:type="dxa"/>
              <w:end w:w="90" w:type="dxa"/>
            </w:tcMar>
          </w:tcPr>
          <w:p>
            <w:pPr>
              <w:spacing w:after="0"/>
            </w:pPr>
            <w:r>
              <w:rPr>
                <w:color w:val="1F2937"/>
                <w:sz w:val="16"/>
              </w:rPr>
              <w:t>Open, resolve, pend, or snooze a conversation.</w:t>
            </w:r>
          </w:p>
        </w:tc>
      </w:tr>
      <w:tr>
        <w:trPr>
          <w:cantSplit/>
        </w:trPr>
        <w:tc>
          <w:tcPr>
            <w:tcW w:type="dxa" w:w="3816"/>
            <w:tcMar>
              <w:top w:w="70" w:type="dxa"/>
              <w:start w:w="90" w:type="dxa"/>
              <w:bottom w:w="70" w:type="dxa"/>
              <w:end w:w="90" w:type="dxa"/>
            </w:tcMar>
          </w:tcPr>
          <w:p>
            <w:pPr>
              <w:spacing w:after="0"/>
            </w:pPr>
            <w:r>
              <w:rPr>
                <w:color w:val="1F2937"/>
                <w:sz w:val="16"/>
              </w:rPr>
              <w:t>PATCH /support/conversations/{id}/assignment</w:t>
            </w:r>
          </w:p>
        </w:tc>
        <w:tc>
          <w:tcPr>
            <w:tcW w:type="dxa" w:w="5832"/>
            <w:tcMar>
              <w:top w:w="70" w:type="dxa"/>
              <w:start w:w="90" w:type="dxa"/>
              <w:bottom w:w="70" w:type="dxa"/>
              <w:end w:w="90" w:type="dxa"/>
            </w:tcMar>
          </w:tcPr>
          <w:p>
            <w:pPr>
              <w:spacing w:after="0"/>
            </w:pPr>
            <w:r>
              <w:rPr>
                <w:color w:val="1F2937"/>
                <w:sz w:val="16"/>
              </w:rPr>
              <w:t>Assign an agent or team.</w:t>
            </w:r>
          </w:p>
        </w:tc>
      </w:tr>
      <w:tr>
        <w:trPr>
          <w:cantSplit/>
        </w:trPr>
        <w:tc>
          <w:tcPr>
            <w:tcW w:type="dxa" w:w="3816"/>
            <w:shd w:fill="F8FAFC"/>
            <w:tcMar>
              <w:top w:w="70" w:type="dxa"/>
              <w:start w:w="90" w:type="dxa"/>
              <w:bottom w:w="70" w:type="dxa"/>
              <w:end w:w="90" w:type="dxa"/>
            </w:tcMar>
          </w:tcPr>
          <w:p>
            <w:pPr>
              <w:spacing w:after="0"/>
            </w:pPr>
            <w:r>
              <w:rPr>
                <w:color w:val="1F2937"/>
                <w:sz w:val="16"/>
              </w:rPr>
              <w:t>PATCH /support/conversations/{id}/labels</w:t>
            </w:r>
          </w:p>
        </w:tc>
        <w:tc>
          <w:tcPr>
            <w:tcW w:type="dxa" w:w="5832"/>
            <w:shd w:fill="F8FAFC"/>
            <w:tcMar>
              <w:top w:w="70" w:type="dxa"/>
              <w:start w:w="90" w:type="dxa"/>
              <w:bottom w:w="70" w:type="dxa"/>
              <w:end w:w="90" w:type="dxa"/>
            </w:tcMar>
          </w:tcPr>
          <w:p>
            <w:pPr>
              <w:spacing w:after="0"/>
            </w:pPr>
            <w:r>
              <w:rPr>
                <w:color w:val="1F2937"/>
                <w:sz w:val="16"/>
              </w:rPr>
              <w:t>Add or remove labels.</w:t>
            </w:r>
          </w:p>
        </w:tc>
      </w:tr>
      <w:tr>
        <w:trPr>
          <w:cantSplit/>
        </w:trPr>
        <w:tc>
          <w:tcPr>
            <w:tcW w:type="dxa" w:w="3816"/>
            <w:tcMar>
              <w:top w:w="70" w:type="dxa"/>
              <w:start w:w="90" w:type="dxa"/>
              <w:bottom w:w="70" w:type="dxa"/>
              <w:end w:w="90" w:type="dxa"/>
            </w:tcMar>
          </w:tcPr>
          <w:p>
            <w:pPr>
              <w:spacing w:after="0"/>
            </w:pPr>
            <w:r>
              <w:rPr>
                <w:color w:val="1F2937"/>
                <w:sz w:val="16"/>
              </w:rPr>
              <w:t>PATCH /support/conversations/{id}/priority</w:t>
            </w:r>
          </w:p>
        </w:tc>
        <w:tc>
          <w:tcPr>
            <w:tcW w:type="dxa" w:w="5832"/>
            <w:tcMar>
              <w:top w:w="70" w:type="dxa"/>
              <w:start w:w="90" w:type="dxa"/>
              <w:bottom w:w="70" w:type="dxa"/>
              <w:end w:w="90" w:type="dxa"/>
            </w:tcMar>
          </w:tcPr>
          <w:p>
            <w:pPr>
              <w:spacing w:after="0"/>
            </w:pPr>
            <w:r>
              <w:rPr>
                <w:color w:val="1F2937"/>
                <w:sz w:val="16"/>
              </w:rPr>
              <w:t>Update priority where available.</w:t>
            </w:r>
          </w:p>
        </w:tc>
      </w:tr>
      <w:tr>
        <w:trPr>
          <w:cantSplit/>
        </w:trPr>
        <w:tc>
          <w:tcPr>
            <w:tcW w:type="dxa" w:w="3816"/>
            <w:shd w:fill="F8FAFC"/>
            <w:tcMar>
              <w:top w:w="70" w:type="dxa"/>
              <w:start w:w="90" w:type="dxa"/>
              <w:bottom w:w="70" w:type="dxa"/>
              <w:end w:w="90" w:type="dxa"/>
            </w:tcMar>
          </w:tcPr>
          <w:p>
            <w:pPr>
              <w:spacing w:after="0"/>
            </w:pPr>
            <w:r>
              <w:rPr>
                <w:color w:val="1F2937"/>
                <w:sz w:val="16"/>
              </w:rPr>
              <w:t>POST /support/conversations/{id}/attachments</w:t>
            </w:r>
          </w:p>
        </w:tc>
        <w:tc>
          <w:tcPr>
            <w:tcW w:type="dxa" w:w="5832"/>
            <w:shd w:fill="F8FAFC"/>
            <w:tcMar>
              <w:top w:w="70" w:type="dxa"/>
              <w:start w:w="90" w:type="dxa"/>
              <w:bottom w:w="70" w:type="dxa"/>
              <w:end w:w="90" w:type="dxa"/>
            </w:tcMar>
          </w:tcPr>
          <w:p>
            <w:pPr>
              <w:spacing w:after="0"/>
            </w:pPr>
            <w:r>
              <w:rPr>
                <w:color w:val="1F2937"/>
                <w:sz w:val="16"/>
              </w:rPr>
              <w:t>Send a multipart message containing files.</w:t>
            </w:r>
          </w:p>
        </w:tc>
      </w:tr>
    </w:tbl>
    <w:p>
      <w:pPr>
        <w:pStyle w:val="Heading2"/>
        <w:keepNext/>
        <w:keepLines/>
        <w:widowControl/>
      </w:pPr>
      <w:r>
        <w:t>6.2 Platform API provisioning</w:t>
      </w:r>
    </w:p>
    <w:p>
      <w:pPr>
        <w:pStyle w:val="ListBullet"/>
        <w:spacing w:after="40"/>
        <w:widowControl/>
      </w:pPr>
      <w:r>
        <w:t>Create a Platform App in the Chatwoot Super Admin portal.</w:t>
      </w:r>
    </w:p>
    <w:p>
      <w:pPr>
        <w:pStyle w:val="ListBullet"/>
        <w:spacing w:after="40"/>
        <w:widowControl/>
      </w:pPr>
      <w:r>
        <w:t>Use one controlled Platform App to provision all application-managed accounts and users.</w:t>
      </w:r>
    </w:p>
    <w:p>
      <w:pPr>
        <w:pStyle w:val="ListBullet"/>
        <w:spacing w:after="40"/>
        <w:widowControl/>
      </w:pPr>
      <w:r>
        <w:t>Store the Platform App token in a dedicated secrets path accessible only to the provisioning worker.</w:t>
      </w:r>
    </w:p>
    <w:p>
      <w:pPr>
        <w:pStyle w:val="ListBullet"/>
        <w:spacing w:after="40"/>
        <w:widowControl/>
      </w:pPr>
      <w:r>
        <w:t>Do not mix manual UI provisioning and multiple Platform App keys without documenting object ownership.</w:t>
      </w:r>
    </w:p>
    <w:p>
      <w:pPr>
        <w:pStyle w:val="ListBullet"/>
        <w:spacing w:after="40"/>
        <w:widowControl/>
      </w:pPr>
      <w:r>
        <w:t>Account for the documented restriction that a Platform API key ordinarily accesses only objects created by that key or explicitly permitted to it. [3][4]</w:t>
      </w:r>
    </w:p>
    <w:p>
      <w:pPr>
        <w:pStyle w:val="Heading2"/>
        <w:keepNext/>
        <w:keepLines/>
        <w:widowControl/>
      </w:pPr>
      <w:r>
        <w:t>6.3 Client API usage</w:t>
      </w:r>
    </w:p>
    <w:p>
      <w:pPr>
        <w:widowControl/>
      </w:pPr>
      <w:r>
        <w:t>Use the Client API only if the product replaces the Chatwoot web widget or offers a customer messaging experience inside a web or mobile application. It is not the correct API for agent-side helpdesk operations.</w:t>
      </w:r>
    </w:p>
    <w:p>
      <w:pPr>
        <w:pStyle w:val="Heading1"/>
        <w:keepNext/>
        <w:keepLines/>
        <w:widowControl/>
      </w:pPr>
      <w:r>
        <w:t>7. Identity, Authentication, and Authorization</w:t>
      </w:r>
    </w:p>
    <w:p>
      <w:pPr>
        <w:pStyle w:val="Heading2"/>
        <w:keepNext/>
        <w:keepLines/>
        <w:widowControl/>
      </w:pPr>
      <w:r>
        <w:t>7.1 Preferred agent identity model</w:t>
      </w:r>
    </w:p>
    <w:p>
      <w:pPr>
        <w:widowControl/>
      </w:pPr>
      <w:r>
        <w:t>Provision one Chatwoot user identity per support agent and store each Chatwoot access token encrypted. The gateway selects the appropriate token after authenticating the proprietary application user.</w:t>
      </w:r>
    </w:p>
    <w:tbl>
      <w:tblPr>
        <w:tblW w:type="auto" w:w="0"/>
        <w:jc w:val="center"/>
        <w:tblLayout w:type="autofit"/>
        <w:tblLook w:firstColumn="1" w:firstRow="1" w:lastColumn="0" w:lastRow="0" w:noHBand="0" w:noVBand="1" w:val="04A0"/>
      </w:tblPr>
      <w:tblGrid>
        <w:gridCol w:w="10080"/>
      </w:tblGrid>
      <w:tr>
        <w:tc>
          <w:tcPr>
            <w:tcW w:type="dxa" w:w="10080"/>
            <w:shd w:fill="F7F8FA"/>
            <w:tcBorders>
              <w:top w:val="single" w:sz="4" w:color="D0D7DE"/>
              <w:left w:val="single" w:sz="4" w:color="D0D7DE"/>
              <w:bottom w:val="single" w:sz="4" w:color="D0D7DE"/>
              <w:right w:val="single" w:sz="4" w:color="D0D7DE"/>
            </w:tcBorders>
            <w:tcMar>
              <w:top w:w="100" w:type="dxa"/>
              <w:start w:w="140" w:type="dxa"/>
              <w:bottom w:w="100" w:type="dxa"/>
              <w:end w:w="140" w:type="dxa"/>
            </w:tcMar>
          </w:tcPr>
          <w:p>
            <w:pPr>
              <w:spacing w:after="0"/>
            </w:pPr>
            <w:r>
              <w:rPr>
                <w:rFonts w:ascii="Liberation Mono" w:hAnsi="Liberation Mono" w:eastAsia="Liberation Mono"/>
                <w:color w:val="1F2937"/>
                <w:sz w:val="17"/>
              </w:rPr>
              <w:t>application_user</w:t>
              <w:br/>
              <w:t xml:space="preserve">  id</w:t>
              <w:br/>
              <w:t xml:space="preserve">  tenant_id</w:t>
              <w:br/>
              <w:t xml:space="preserve">  email</w:t>
              <w:br/>
              <w:br/>
              <w:t>support_provider_identity</w:t>
              <w:br/>
              <w:t xml:space="preserve">  application_user_id</w:t>
              <w:br/>
              <w:t xml:space="preserve">  provider = 'chatwoot'</w:t>
              <w:br/>
              <w:t xml:space="preserve">  provider_user_id</w:t>
              <w:br/>
              <w:t xml:space="preserve">  encrypted_access_token</w:t>
              <w:br/>
              <w:t xml:space="preserve">  token_version</w:t>
              <w:br/>
              <w:t xml:space="preserve">  created_at / rotated_at</w:t>
            </w:r>
          </w:p>
        </w:tc>
      </w:tr>
    </w:tbl>
    <w:p>
      <w:pPr>
        <w:pStyle w:val="Heading2"/>
        <w:keepNext/>
        <w:keepLines/>
        <w:widowControl/>
      </w:pPr>
      <w:r>
        <w:t>7.2 Benefits of per-agent tokens</w:t>
      </w:r>
    </w:p>
    <w:p>
      <w:pPr>
        <w:pStyle w:val="ListBullet"/>
        <w:spacing w:after="40"/>
        <w:widowControl/>
      </w:pPr>
      <w:r>
        <w:t>Actions are attributed to the correct Chatwoot agent.</w:t>
      </w:r>
    </w:p>
    <w:p>
      <w:pPr>
        <w:pStyle w:val="ListBullet"/>
        <w:spacing w:after="40"/>
        <w:widowControl/>
      </w:pPr>
      <w:r>
        <w:t>Chatwoot permissions reinforce gateway authorization.</w:t>
      </w:r>
    </w:p>
    <w:p>
      <w:pPr>
        <w:pStyle w:val="ListBullet"/>
        <w:spacing w:after="40"/>
        <w:widowControl/>
      </w:pPr>
      <w:r>
        <w:t>Assignment filters such as “assigned to me” behave naturally.</w:t>
      </w:r>
    </w:p>
    <w:p>
      <w:pPr>
        <w:pStyle w:val="ListBullet"/>
        <w:spacing w:after="40"/>
        <w:widowControl/>
      </w:pPr>
      <w:r>
        <w:t>Outgoing messages and private notes carry the correct sender identity.</w:t>
      </w:r>
    </w:p>
    <w:p>
      <w:pPr>
        <w:pStyle w:val="ListBullet"/>
        <w:spacing w:after="40"/>
        <w:widowControl/>
      </w:pPr>
      <w:r>
        <w:t>Investigation and audit data remain meaningful.</w:t>
      </w:r>
    </w:p>
    <w:p>
      <w:pPr>
        <w:pStyle w:val="Heading2"/>
        <w:keepNext/>
        <w:keepLines/>
        <w:widowControl/>
      </w:pPr>
      <w:r>
        <w:t>7.3 Service-agent alternative</w:t>
      </w:r>
    </w:p>
    <w:p>
      <w:pPr>
        <w:widowControl/>
      </w:pPr>
      <w:r>
        <w:t>A single service-agent token is acceptable for an early proof of concept, but not preferred for mature production use. It collapses all Chatwoot attribution into one identity and makes the gateway the only enforcement layer. If used temporarily, record the proprietary application user ID in a gateway audit log and, where safe, in provider custom attributes or message metadata.</w:t>
      </w:r>
    </w:p>
    <w:p>
      <w:pPr>
        <w:pStyle w:val="Heading2"/>
        <w:keepNext/>
        <w:keepLines/>
        <w:widowControl/>
      </w:pPr>
      <w:r>
        <w:t>7.4 Token controls</w:t>
      </w:r>
    </w:p>
    <w:p>
      <w:pPr>
        <w:pStyle w:val="ListBullet"/>
        <w:spacing w:after="40"/>
        <w:widowControl/>
      </w:pPr>
      <w:r>
        <w:t>Encrypt tokens at rest using a managed key or secrets platform.</w:t>
      </w:r>
    </w:p>
    <w:p>
      <w:pPr>
        <w:pStyle w:val="ListBullet"/>
        <w:spacing w:after="40"/>
        <w:widowControl/>
      </w:pPr>
      <w:r>
        <w:t>Never serialize Chatwoot tokens to the browser, logs, traces, analytics, or error reporting.</w:t>
      </w:r>
    </w:p>
    <w:p>
      <w:pPr>
        <w:pStyle w:val="ListBullet"/>
        <w:spacing w:after="40"/>
        <w:widowControl/>
      </w:pPr>
      <w:r>
        <w:t>Separate Platform App, administrator, agent, and webhook secrets.</w:t>
      </w:r>
    </w:p>
    <w:p>
      <w:pPr>
        <w:pStyle w:val="ListBullet"/>
        <w:spacing w:after="40"/>
        <w:widowControl/>
      </w:pPr>
      <w:r>
        <w:t>Rotate secrets and invalidate user tokens when access is revoked.</w:t>
      </w:r>
    </w:p>
    <w:p>
      <w:pPr>
        <w:pStyle w:val="ListBullet"/>
        <w:spacing w:after="40"/>
        <w:widowControl/>
      </w:pPr>
      <w:r>
        <w:t>Apply outbound egress controls so tokens can be used only against the approved Chatwoot origin.</w:t>
      </w:r>
    </w:p>
    <w:p>
      <w:pPr>
        <w:pStyle w:val="Heading1"/>
        <w:keepNext/>
        <w:keepLines/>
        <w:widowControl/>
      </w:pPr>
      <w:r>
        <w:t>8. Tenant Mapping and Data Ownership</w:t>
      </w:r>
    </w:p>
    <w:p>
      <w:pPr>
        <w:pStyle w:val="Heading2"/>
        <w:keepNext/>
        <w:keepLines/>
        <w:widowControl/>
      </w:pPr>
      <w:r>
        <w:t>8.1 Recommended mapping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17365D"/>
            <w:tcMar>
              <w:top w:w="75" w:type="dxa"/>
              <w:start w:w="90" w:type="dxa"/>
              <w:bottom w:w="75" w:type="dxa"/>
              <w:end w:w="90" w:type="dxa"/>
            </w:tcMar>
          </w:tcPr>
          <w:p>
            <w:pPr>
              <w:jc w:val="left"/>
            </w:pPr>
            <w:r>
              <w:rPr>
                <w:b/>
                <w:color w:val="FFFFFF"/>
                <w:sz w:val="16"/>
              </w:rPr>
              <w:t>Proprietary concept</w:t>
            </w:r>
          </w:p>
        </w:tc>
        <w:tc>
          <w:tcPr>
            <w:tcW w:type="dxa" w:w="2304"/>
            <w:shd w:fill="17365D"/>
            <w:tcMar>
              <w:top w:w="75" w:type="dxa"/>
              <w:start w:w="90" w:type="dxa"/>
              <w:bottom w:w="75" w:type="dxa"/>
              <w:end w:w="90" w:type="dxa"/>
            </w:tcMar>
          </w:tcPr>
          <w:p>
            <w:pPr>
              <w:jc w:val="left"/>
            </w:pPr>
            <w:r>
              <w:rPr>
                <w:b/>
                <w:color w:val="FFFFFF"/>
                <w:sz w:val="16"/>
              </w:rPr>
              <w:t>Chatwoot concept</w:t>
            </w:r>
          </w:p>
        </w:tc>
        <w:tc>
          <w:tcPr>
            <w:tcW w:type="dxa" w:w="4896"/>
            <w:shd w:fill="17365D"/>
            <w:tcMar>
              <w:top w:w="75" w:type="dxa"/>
              <w:start w:w="90" w:type="dxa"/>
              <w:bottom w:w="75" w:type="dxa"/>
              <w:end w:w="90" w:type="dxa"/>
            </w:tcMar>
          </w:tcPr>
          <w:p>
            <w:pPr>
              <w:jc w:val="left"/>
            </w:pPr>
            <w:r>
              <w:rPr>
                <w:b/>
                <w:color w:val="FFFFFF"/>
                <w:sz w:val="16"/>
              </w:rPr>
              <w:t>Notes</w:t>
            </w:r>
          </w:p>
        </w:tc>
      </w:tr>
      <w:tr>
        <w:trPr>
          <w:cantSplit/>
        </w:trPr>
        <w:tc>
          <w:tcPr>
            <w:tcW w:type="dxa" w:w="2448"/>
            <w:tcMar>
              <w:top w:w="70" w:type="dxa"/>
              <w:start w:w="90" w:type="dxa"/>
              <w:bottom w:w="70" w:type="dxa"/>
              <w:end w:w="90" w:type="dxa"/>
            </w:tcMar>
          </w:tcPr>
          <w:p>
            <w:pPr>
              <w:spacing w:after="0"/>
            </w:pPr>
            <w:r>
              <w:rPr>
                <w:color w:val="1F2937"/>
                <w:sz w:val="16"/>
              </w:rPr>
              <w:t>Tenant / customer environment</w:t>
            </w:r>
          </w:p>
        </w:tc>
        <w:tc>
          <w:tcPr>
            <w:tcW w:type="dxa" w:w="2304"/>
            <w:tcMar>
              <w:top w:w="70" w:type="dxa"/>
              <w:start w:w="90" w:type="dxa"/>
              <w:bottom w:w="70" w:type="dxa"/>
              <w:end w:w="90" w:type="dxa"/>
            </w:tcMar>
          </w:tcPr>
          <w:p>
            <w:pPr>
              <w:spacing w:after="0"/>
            </w:pPr>
            <w:r>
              <w:rPr>
                <w:color w:val="1F2937"/>
                <w:sz w:val="16"/>
              </w:rPr>
              <w:t>Account</w:t>
            </w:r>
          </w:p>
        </w:tc>
        <w:tc>
          <w:tcPr>
            <w:tcW w:type="dxa" w:w="4896"/>
            <w:tcMar>
              <w:top w:w="70" w:type="dxa"/>
              <w:start w:w="90" w:type="dxa"/>
              <w:bottom w:w="70" w:type="dxa"/>
              <w:end w:w="90" w:type="dxa"/>
            </w:tcMar>
          </w:tcPr>
          <w:p>
            <w:pPr>
              <w:spacing w:after="0"/>
            </w:pPr>
            <w:r>
              <w:rPr>
                <w:color w:val="1F2937"/>
                <w:sz w:val="16"/>
              </w:rPr>
              <w:t>Strongest default isolation model; map one product tenant to one Chatwoot account.</w:t>
            </w:r>
          </w:p>
        </w:tc>
      </w:tr>
      <w:tr>
        <w:trPr>
          <w:cantSplit/>
        </w:trPr>
        <w:tc>
          <w:tcPr>
            <w:tcW w:type="dxa" w:w="2448"/>
            <w:shd w:fill="F8FAFC"/>
            <w:tcMar>
              <w:top w:w="70" w:type="dxa"/>
              <w:start w:w="90" w:type="dxa"/>
              <w:bottom w:w="70" w:type="dxa"/>
              <w:end w:w="90" w:type="dxa"/>
            </w:tcMar>
          </w:tcPr>
          <w:p>
            <w:pPr>
              <w:spacing w:after="0"/>
            </w:pPr>
            <w:r>
              <w:rPr>
                <w:color w:val="1F2937"/>
                <w:sz w:val="16"/>
              </w:rPr>
              <w:t>Support mailbox or channel</w:t>
            </w:r>
          </w:p>
        </w:tc>
        <w:tc>
          <w:tcPr>
            <w:tcW w:type="dxa" w:w="2304"/>
            <w:shd w:fill="F8FAFC"/>
            <w:tcMar>
              <w:top w:w="70" w:type="dxa"/>
              <w:start w:w="90" w:type="dxa"/>
              <w:bottom w:w="70" w:type="dxa"/>
              <w:end w:w="90" w:type="dxa"/>
            </w:tcMar>
          </w:tcPr>
          <w:p>
            <w:pPr>
              <w:spacing w:after="0"/>
            </w:pPr>
            <w:r>
              <w:rPr>
                <w:color w:val="1F2937"/>
                <w:sz w:val="16"/>
              </w:rPr>
              <w:t>Inbox</w:t>
            </w:r>
          </w:p>
        </w:tc>
        <w:tc>
          <w:tcPr>
            <w:tcW w:type="dxa" w:w="4896"/>
            <w:shd w:fill="F8FAFC"/>
            <w:tcMar>
              <w:top w:w="70" w:type="dxa"/>
              <w:start w:w="90" w:type="dxa"/>
              <w:bottom w:w="70" w:type="dxa"/>
              <w:end w:w="90" w:type="dxa"/>
            </w:tcMar>
          </w:tcPr>
          <w:p>
            <w:pPr>
              <w:spacing w:after="0"/>
            </w:pPr>
            <w:r>
              <w:rPr>
                <w:color w:val="1F2937"/>
                <w:sz w:val="16"/>
              </w:rPr>
              <w:t>One account may contain multiple email, API, chat, or messaging inboxes.</w:t>
            </w:r>
          </w:p>
        </w:tc>
      </w:tr>
      <w:tr>
        <w:trPr>
          <w:cantSplit/>
        </w:trPr>
        <w:tc>
          <w:tcPr>
            <w:tcW w:type="dxa" w:w="2448"/>
            <w:tcMar>
              <w:top w:w="70" w:type="dxa"/>
              <w:start w:w="90" w:type="dxa"/>
              <w:bottom w:w="70" w:type="dxa"/>
              <w:end w:w="90" w:type="dxa"/>
            </w:tcMar>
          </w:tcPr>
          <w:p>
            <w:pPr>
              <w:spacing w:after="0"/>
            </w:pPr>
            <w:r>
              <w:rPr>
                <w:color w:val="1F2937"/>
                <w:sz w:val="16"/>
              </w:rPr>
              <w:t>Support agent</w:t>
            </w:r>
          </w:p>
        </w:tc>
        <w:tc>
          <w:tcPr>
            <w:tcW w:type="dxa" w:w="2304"/>
            <w:tcMar>
              <w:top w:w="70" w:type="dxa"/>
              <w:start w:w="90" w:type="dxa"/>
              <w:bottom w:w="70" w:type="dxa"/>
              <w:end w:w="90" w:type="dxa"/>
            </w:tcMar>
          </w:tcPr>
          <w:p>
            <w:pPr>
              <w:spacing w:after="0"/>
            </w:pPr>
            <w:r>
              <w:rPr>
                <w:color w:val="1F2937"/>
                <w:sz w:val="16"/>
              </w:rPr>
              <w:t>User plus account membership</w:t>
            </w:r>
          </w:p>
        </w:tc>
        <w:tc>
          <w:tcPr>
            <w:tcW w:type="dxa" w:w="4896"/>
            <w:tcMar>
              <w:top w:w="70" w:type="dxa"/>
              <w:start w:w="90" w:type="dxa"/>
              <w:bottom w:w="70" w:type="dxa"/>
              <w:end w:w="90" w:type="dxa"/>
            </w:tcMar>
          </w:tcPr>
          <w:p>
            <w:pPr>
              <w:spacing w:after="0"/>
            </w:pPr>
            <w:r>
              <w:rPr>
                <w:color w:val="1F2937"/>
                <w:sz w:val="16"/>
              </w:rPr>
              <w:t>Provision through the controlled Platform App.</w:t>
            </w:r>
          </w:p>
        </w:tc>
      </w:tr>
      <w:tr>
        <w:trPr>
          <w:cantSplit/>
        </w:trPr>
        <w:tc>
          <w:tcPr>
            <w:tcW w:type="dxa" w:w="2448"/>
            <w:shd w:fill="F8FAFC"/>
            <w:tcMar>
              <w:top w:w="70" w:type="dxa"/>
              <w:start w:w="90" w:type="dxa"/>
              <w:bottom w:w="70" w:type="dxa"/>
              <w:end w:w="90" w:type="dxa"/>
            </w:tcMar>
          </w:tcPr>
          <w:p>
            <w:pPr>
              <w:spacing w:after="0"/>
            </w:pPr>
            <w:r>
              <w:rPr>
                <w:color w:val="1F2937"/>
                <w:sz w:val="16"/>
              </w:rPr>
              <w:t>External customer/person</w:t>
            </w:r>
          </w:p>
        </w:tc>
        <w:tc>
          <w:tcPr>
            <w:tcW w:type="dxa" w:w="2304"/>
            <w:shd w:fill="F8FAFC"/>
            <w:tcMar>
              <w:top w:w="70" w:type="dxa"/>
              <w:start w:w="90" w:type="dxa"/>
              <w:bottom w:w="70" w:type="dxa"/>
              <w:end w:w="90" w:type="dxa"/>
            </w:tcMar>
          </w:tcPr>
          <w:p>
            <w:pPr>
              <w:spacing w:after="0"/>
            </w:pPr>
            <w:r>
              <w:rPr>
                <w:color w:val="1F2937"/>
                <w:sz w:val="16"/>
              </w:rPr>
              <w:t>Contact</w:t>
            </w:r>
          </w:p>
        </w:tc>
        <w:tc>
          <w:tcPr>
            <w:tcW w:type="dxa" w:w="4896"/>
            <w:shd w:fill="F8FAFC"/>
            <w:tcMar>
              <w:top w:w="70" w:type="dxa"/>
              <w:start w:w="90" w:type="dxa"/>
              <w:bottom w:w="70" w:type="dxa"/>
              <w:end w:w="90" w:type="dxa"/>
            </w:tcMar>
          </w:tcPr>
          <w:p>
            <w:pPr>
              <w:spacing w:after="0"/>
            </w:pPr>
            <w:r>
              <w:rPr>
                <w:color w:val="1F2937"/>
                <w:sz w:val="16"/>
              </w:rPr>
              <w:t>Retain your own customer ID mapping.</w:t>
            </w:r>
          </w:p>
        </w:tc>
      </w:tr>
      <w:tr>
        <w:trPr>
          <w:cantSplit/>
        </w:trPr>
        <w:tc>
          <w:tcPr>
            <w:tcW w:type="dxa" w:w="2448"/>
            <w:tcMar>
              <w:top w:w="70" w:type="dxa"/>
              <w:start w:w="90" w:type="dxa"/>
              <w:bottom w:w="70" w:type="dxa"/>
              <w:end w:w="90" w:type="dxa"/>
            </w:tcMar>
          </w:tcPr>
          <w:p>
            <w:pPr>
              <w:spacing w:after="0"/>
            </w:pPr>
            <w:r>
              <w:rPr>
                <w:color w:val="1F2937"/>
                <w:sz w:val="16"/>
              </w:rPr>
              <w:t>Communication thread</w:t>
            </w:r>
          </w:p>
        </w:tc>
        <w:tc>
          <w:tcPr>
            <w:tcW w:type="dxa" w:w="2304"/>
            <w:tcMar>
              <w:top w:w="70" w:type="dxa"/>
              <w:start w:w="90" w:type="dxa"/>
              <w:bottom w:w="70" w:type="dxa"/>
              <w:end w:w="90" w:type="dxa"/>
            </w:tcMar>
          </w:tcPr>
          <w:p>
            <w:pPr>
              <w:spacing w:after="0"/>
            </w:pPr>
            <w:r>
              <w:rPr>
                <w:color w:val="1F2937"/>
                <w:sz w:val="16"/>
              </w:rPr>
              <w:t>Conversation</w:t>
            </w:r>
          </w:p>
        </w:tc>
        <w:tc>
          <w:tcPr>
            <w:tcW w:type="dxa" w:w="4896"/>
            <w:tcMar>
              <w:top w:w="70" w:type="dxa"/>
              <w:start w:w="90" w:type="dxa"/>
              <w:bottom w:w="70" w:type="dxa"/>
              <w:end w:w="90" w:type="dxa"/>
            </w:tcMar>
          </w:tcPr>
          <w:p>
            <w:pPr>
              <w:spacing w:after="0"/>
            </w:pPr>
            <w:r>
              <w:rPr>
                <w:color w:val="1F2937"/>
                <w:sz w:val="16"/>
              </w:rPr>
              <w:t>Treat as communications state, not necessarily the canonical business ticket.</w:t>
            </w:r>
          </w:p>
        </w:tc>
      </w:tr>
      <w:tr>
        <w:trPr>
          <w:cantSplit/>
        </w:trPr>
        <w:tc>
          <w:tcPr>
            <w:tcW w:type="dxa" w:w="2448"/>
            <w:shd w:fill="F8FAFC"/>
            <w:tcMar>
              <w:top w:w="70" w:type="dxa"/>
              <w:start w:w="90" w:type="dxa"/>
              <w:bottom w:w="70" w:type="dxa"/>
              <w:end w:w="90" w:type="dxa"/>
            </w:tcMar>
          </w:tcPr>
          <w:p>
            <w:pPr>
              <w:spacing w:after="0"/>
            </w:pPr>
            <w:r>
              <w:rPr>
                <w:color w:val="1F2937"/>
                <w:sz w:val="16"/>
              </w:rPr>
              <w:t>Message or note</w:t>
            </w:r>
          </w:p>
        </w:tc>
        <w:tc>
          <w:tcPr>
            <w:tcW w:type="dxa" w:w="2304"/>
            <w:shd w:fill="F8FAFC"/>
            <w:tcMar>
              <w:top w:w="70" w:type="dxa"/>
              <w:start w:w="90" w:type="dxa"/>
              <w:bottom w:w="70" w:type="dxa"/>
              <w:end w:w="90" w:type="dxa"/>
            </w:tcMar>
          </w:tcPr>
          <w:p>
            <w:pPr>
              <w:spacing w:after="0"/>
            </w:pPr>
            <w:r>
              <w:rPr>
                <w:color w:val="1F2937"/>
                <w:sz w:val="16"/>
              </w:rPr>
              <w:t>Message</w:t>
            </w:r>
          </w:p>
        </w:tc>
        <w:tc>
          <w:tcPr>
            <w:tcW w:type="dxa" w:w="4896"/>
            <w:shd w:fill="F8FAFC"/>
            <w:tcMar>
              <w:top w:w="70" w:type="dxa"/>
              <w:start w:w="90" w:type="dxa"/>
              <w:bottom w:w="70" w:type="dxa"/>
              <w:end w:w="90" w:type="dxa"/>
            </w:tcMar>
          </w:tcPr>
          <w:p>
            <w:pPr>
              <w:spacing w:after="0"/>
            </w:pPr>
            <w:r>
              <w:rPr>
                <w:color w:val="1F2937"/>
                <w:sz w:val="16"/>
              </w:rPr>
              <w:t>Public replies and private notes should be distinguished.</w:t>
            </w:r>
          </w:p>
        </w:tc>
      </w:tr>
      <w:tr>
        <w:trPr>
          <w:cantSplit/>
        </w:trPr>
        <w:tc>
          <w:tcPr>
            <w:tcW w:type="dxa" w:w="2448"/>
            <w:tcMar>
              <w:top w:w="70" w:type="dxa"/>
              <w:start w:w="90" w:type="dxa"/>
              <w:bottom w:w="70" w:type="dxa"/>
              <w:end w:w="90" w:type="dxa"/>
            </w:tcMar>
          </w:tcPr>
          <w:p>
            <w:pPr>
              <w:spacing w:after="0"/>
            </w:pPr>
            <w:r>
              <w:rPr>
                <w:color w:val="1F2937"/>
                <w:sz w:val="16"/>
              </w:rPr>
              <w:t>Ticket, incident, request</w:t>
            </w:r>
          </w:p>
        </w:tc>
        <w:tc>
          <w:tcPr>
            <w:tcW w:type="dxa" w:w="2304"/>
            <w:tcMar>
              <w:top w:w="70" w:type="dxa"/>
              <w:start w:w="90" w:type="dxa"/>
              <w:bottom w:w="70" w:type="dxa"/>
              <w:end w:w="90" w:type="dxa"/>
            </w:tcMar>
          </w:tcPr>
          <w:p>
            <w:pPr>
              <w:spacing w:after="0"/>
            </w:pPr>
            <w:r>
              <w:rPr>
                <w:color w:val="1F2937"/>
                <w:sz w:val="16"/>
              </w:rPr>
              <w:t>External linked record</w:t>
            </w:r>
          </w:p>
        </w:tc>
        <w:tc>
          <w:tcPr>
            <w:tcW w:type="dxa" w:w="4896"/>
            <w:tcMar>
              <w:top w:w="70" w:type="dxa"/>
              <w:start w:w="90" w:type="dxa"/>
              <w:bottom w:w="70" w:type="dxa"/>
              <w:end w:w="90" w:type="dxa"/>
            </w:tcMar>
          </w:tcPr>
          <w:p>
            <w:pPr>
              <w:spacing w:after="0"/>
            </w:pPr>
            <w:r>
              <w:rPr>
                <w:color w:val="1F2937"/>
                <w:sz w:val="16"/>
              </w:rPr>
              <w:t>Owned by the proprietary application and linked through a mapping table.</w:t>
            </w:r>
          </w:p>
        </w:tc>
      </w:tr>
    </w:tbl>
    <w:p>
      <w:pPr>
        <w:pStyle w:val="Heading2"/>
        <w:keepNext/>
        <w:keepLines/>
        <w:widowControl/>
      </w:pPr>
      <w:r>
        <w:t>8.2 Canonical mapping table</w:t>
      </w:r>
    </w:p>
    <w:tbl>
      <w:tblPr>
        <w:tblW w:type="auto" w:w="0"/>
        <w:jc w:val="center"/>
        <w:tblLayout w:type="autofit"/>
        <w:tblLook w:firstColumn="1" w:firstRow="1" w:lastColumn="0" w:lastRow="0" w:noHBand="0" w:noVBand="1" w:val="04A0"/>
      </w:tblPr>
      <w:tblGrid>
        <w:gridCol w:w="10080"/>
      </w:tblGrid>
      <w:tr>
        <w:tc>
          <w:tcPr>
            <w:tcW w:type="dxa" w:w="10080"/>
            <w:shd w:fill="F7F8FA"/>
            <w:tcBorders>
              <w:top w:val="single" w:sz="4" w:color="D0D7DE"/>
              <w:left w:val="single" w:sz="4" w:color="D0D7DE"/>
              <w:bottom w:val="single" w:sz="4" w:color="D0D7DE"/>
              <w:right w:val="single" w:sz="4" w:color="D0D7DE"/>
            </w:tcBorders>
            <w:tcMar>
              <w:top w:w="100" w:type="dxa"/>
              <w:start w:w="140" w:type="dxa"/>
              <w:bottom w:w="100" w:type="dxa"/>
              <w:end w:w="140" w:type="dxa"/>
            </w:tcMar>
          </w:tcPr>
          <w:p>
            <w:pPr>
              <w:spacing w:after="0"/>
            </w:pPr>
            <w:r>
              <w:rPr>
                <w:rFonts w:ascii="Liberation Mono" w:hAnsi="Liberation Mono" w:eastAsia="Liberation Mono"/>
                <w:color w:val="1F2937"/>
                <w:sz w:val="17"/>
              </w:rPr>
              <w:t>support_conversation</w:t>
              <w:br/>
              <w:t xml:space="preserve">  id                         UUID owned by proprietary app</w:t>
              <w:br/>
              <w:t xml:space="preserve">  tenant_id                  required</w:t>
              <w:br/>
              <w:t xml:space="preserve">  provider                   'chatwoot'</w:t>
              <w:br/>
              <w:t xml:space="preserve">  provider_account_id        Chatwoot account ID</w:t>
              <w:br/>
              <w:t xml:space="preserve">  provider_inbox_id          Chatwoot inbox ID</w:t>
              <w:br/>
              <w:t xml:space="preserve">  provider_conversation_id   Chatwoot conversation ID</w:t>
              <w:br/>
              <w:t xml:space="preserve">  linked_object_type         ticket | incident | request | case</w:t>
              <w:br/>
              <w:t xml:space="preserve">  linked_object_id           product-owned UUID</w:t>
              <w:br/>
              <w:t xml:space="preserve">  provider_version           observed API/schema version</w:t>
              <w:br/>
              <w:t xml:space="preserve">  last_provider_sync_at</w:t>
              <w:br/>
              <w:t xml:space="preserve">  created_at / updated_at</w:t>
            </w:r>
          </w:p>
        </w:tc>
      </w:tr>
    </w:tbl>
    <w:p>
      <w:pPr>
        <w:pStyle w:val="Heading2"/>
        <w:keepNext/>
        <w:keepLines/>
        <w:widowControl/>
      </w:pPr>
      <w:r>
        <w:t>8.3 Data ownership rules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680"/>
            <w:shd w:fill="17365D"/>
            <w:tcMar>
              <w:top w:w="75" w:type="dxa"/>
              <w:start w:w="90" w:type="dxa"/>
              <w:bottom w:w="75" w:type="dxa"/>
              <w:end w:w="90" w:type="dxa"/>
            </w:tcMar>
          </w:tcPr>
          <w:p>
            <w:pPr>
              <w:jc w:val="left"/>
            </w:pPr>
            <w:r>
              <w:rPr>
                <w:b/>
                <w:color w:val="FFFFFF"/>
                <w:sz w:val="16"/>
              </w:rPr>
              <w:t>Chatwoot owns</w:t>
            </w:r>
          </w:p>
        </w:tc>
        <w:tc>
          <w:tcPr>
            <w:tcW w:type="dxa" w:w="4968"/>
            <w:shd w:fill="17365D"/>
            <w:tcMar>
              <w:top w:w="75" w:type="dxa"/>
              <w:start w:w="90" w:type="dxa"/>
              <w:bottom w:w="75" w:type="dxa"/>
              <w:end w:w="90" w:type="dxa"/>
            </w:tcMar>
          </w:tcPr>
          <w:p>
            <w:pPr>
              <w:jc w:val="left"/>
            </w:pPr>
            <w:r>
              <w:rPr>
                <w:b/>
                <w:color w:val="FFFFFF"/>
                <w:sz w:val="16"/>
              </w:rPr>
              <w:t>Proprietary application owns</w:t>
            </w:r>
          </w:p>
        </w:tc>
      </w:tr>
      <w:tr>
        <w:trPr>
          <w:cantSplit/>
        </w:trPr>
        <w:tc>
          <w:tcPr>
            <w:tcW w:type="dxa" w:w="4680"/>
            <w:tcMar>
              <w:top w:w="70" w:type="dxa"/>
              <w:start w:w="90" w:type="dxa"/>
              <w:bottom w:w="70" w:type="dxa"/>
              <w:end w:w="90" w:type="dxa"/>
            </w:tcMar>
          </w:tcPr>
          <w:p>
            <w:pPr>
              <w:spacing w:after="0"/>
            </w:pPr>
            <w:r>
              <w:rPr>
                <w:color w:val="1F2937"/>
                <w:sz w:val="16"/>
              </w:rPr>
              <w:t>Mailbox and channel connections</w:t>
            </w:r>
          </w:p>
        </w:tc>
        <w:tc>
          <w:tcPr>
            <w:tcW w:type="dxa" w:w="4968"/>
            <w:tcMar>
              <w:top w:w="70" w:type="dxa"/>
              <w:start w:w="90" w:type="dxa"/>
              <w:bottom w:w="70" w:type="dxa"/>
              <w:end w:w="90" w:type="dxa"/>
            </w:tcMar>
          </w:tcPr>
          <w:p>
            <w:pPr>
              <w:spacing w:after="0"/>
            </w:pPr>
            <w:r>
              <w:rPr>
                <w:color w:val="1F2937"/>
                <w:sz w:val="16"/>
              </w:rPr>
              <w:t>Tenant authorization and data-access policies</w:t>
            </w:r>
          </w:p>
        </w:tc>
      </w:tr>
      <w:tr>
        <w:trPr>
          <w:cantSplit/>
        </w:trPr>
        <w:tc>
          <w:tcPr>
            <w:tcW w:type="dxa" w:w="4680"/>
            <w:shd w:fill="F8FAFC"/>
            <w:tcMar>
              <w:top w:w="70" w:type="dxa"/>
              <w:start w:w="90" w:type="dxa"/>
              <w:bottom w:w="70" w:type="dxa"/>
              <w:end w:w="90" w:type="dxa"/>
            </w:tcMar>
          </w:tcPr>
          <w:p>
            <w:pPr>
              <w:spacing w:after="0"/>
            </w:pPr>
            <w:r>
              <w:rPr>
                <w:color w:val="1F2937"/>
                <w:sz w:val="16"/>
              </w:rPr>
              <w:t>Contacts used for communications</w:t>
            </w:r>
          </w:p>
        </w:tc>
        <w:tc>
          <w:tcPr>
            <w:tcW w:type="dxa" w:w="4968"/>
            <w:shd w:fill="F8FAFC"/>
            <w:tcMar>
              <w:top w:w="70" w:type="dxa"/>
              <w:start w:w="90" w:type="dxa"/>
              <w:bottom w:w="70" w:type="dxa"/>
              <w:end w:w="90" w:type="dxa"/>
            </w:tcMar>
          </w:tcPr>
          <w:p>
            <w:pPr>
              <w:spacing w:after="0"/>
            </w:pPr>
            <w:r>
              <w:rPr>
                <w:color w:val="1F2937"/>
                <w:sz w:val="16"/>
              </w:rPr>
              <w:t>Canonical customer, organization, and asset records</w:t>
            </w:r>
          </w:p>
        </w:tc>
      </w:tr>
      <w:tr>
        <w:trPr>
          <w:cantSplit/>
        </w:trPr>
        <w:tc>
          <w:tcPr>
            <w:tcW w:type="dxa" w:w="4680"/>
            <w:tcMar>
              <w:top w:w="70" w:type="dxa"/>
              <w:start w:w="90" w:type="dxa"/>
              <w:bottom w:w="70" w:type="dxa"/>
              <w:end w:w="90" w:type="dxa"/>
            </w:tcMar>
          </w:tcPr>
          <w:p>
            <w:pPr>
              <w:spacing w:after="0"/>
            </w:pPr>
            <w:r>
              <w:rPr>
                <w:color w:val="1F2937"/>
                <w:sz w:val="16"/>
              </w:rPr>
              <w:t>Conversations and message transport state</w:t>
            </w:r>
          </w:p>
        </w:tc>
        <w:tc>
          <w:tcPr>
            <w:tcW w:type="dxa" w:w="4968"/>
            <w:tcMar>
              <w:top w:w="70" w:type="dxa"/>
              <w:start w:w="90" w:type="dxa"/>
              <w:bottom w:w="70" w:type="dxa"/>
              <w:end w:w="90" w:type="dxa"/>
            </w:tcMar>
          </w:tcPr>
          <w:p>
            <w:pPr>
              <w:spacing w:after="0"/>
            </w:pPr>
            <w:r>
              <w:rPr>
                <w:color w:val="1F2937"/>
                <w:sz w:val="16"/>
              </w:rPr>
              <w:t>Tickets, incidents, requests, cases, and projects</w:t>
            </w:r>
          </w:p>
        </w:tc>
      </w:tr>
      <w:tr>
        <w:trPr>
          <w:cantSplit/>
        </w:trPr>
        <w:tc>
          <w:tcPr>
            <w:tcW w:type="dxa" w:w="4680"/>
            <w:shd w:fill="F8FAFC"/>
            <w:tcMar>
              <w:top w:w="70" w:type="dxa"/>
              <w:start w:w="90" w:type="dxa"/>
              <w:bottom w:w="70" w:type="dxa"/>
              <w:end w:w="90" w:type="dxa"/>
            </w:tcMar>
          </w:tcPr>
          <w:p>
            <w:pPr>
              <w:spacing w:after="0"/>
            </w:pPr>
            <w:r>
              <w:rPr>
                <w:color w:val="1F2937"/>
                <w:sz w:val="16"/>
              </w:rPr>
              <w:t>Messages, private notes, and attachments</w:t>
            </w:r>
          </w:p>
        </w:tc>
        <w:tc>
          <w:tcPr>
            <w:tcW w:type="dxa" w:w="4968"/>
            <w:shd w:fill="F8FAFC"/>
            <w:tcMar>
              <w:top w:w="70" w:type="dxa"/>
              <w:start w:w="90" w:type="dxa"/>
              <w:bottom w:w="70" w:type="dxa"/>
              <w:end w:w="90" w:type="dxa"/>
            </w:tcMar>
          </w:tcPr>
          <w:p>
            <w:pPr>
              <w:spacing w:after="0"/>
            </w:pPr>
            <w:r>
              <w:rPr>
                <w:color w:val="1F2937"/>
                <w:sz w:val="16"/>
              </w:rPr>
              <w:t>Business status, risk state, approvals, and workflows</w:t>
            </w:r>
          </w:p>
        </w:tc>
      </w:tr>
      <w:tr>
        <w:trPr>
          <w:cantSplit/>
        </w:trPr>
        <w:tc>
          <w:tcPr>
            <w:tcW w:type="dxa" w:w="4680"/>
            <w:tcMar>
              <w:top w:w="70" w:type="dxa"/>
              <w:start w:w="90" w:type="dxa"/>
              <w:bottom w:w="70" w:type="dxa"/>
              <w:end w:w="90" w:type="dxa"/>
            </w:tcMar>
          </w:tcPr>
          <w:p>
            <w:pPr>
              <w:spacing w:after="0"/>
            </w:pPr>
            <w:r>
              <w:rPr>
                <w:color w:val="1F2937"/>
                <w:sz w:val="16"/>
              </w:rPr>
              <w:t>Delivery and channel metadata</w:t>
            </w:r>
          </w:p>
        </w:tc>
        <w:tc>
          <w:tcPr>
            <w:tcW w:type="dxa" w:w="4968"/>
            <w:tcMar>
              <w:top w:w="70" w:type="dxa"/>
              <w:start w:w="90" w:type="dxa"/>
              <w:bottom w:w="70" w:type="dxa"/>
              <w:end w:w="90" w:type="dxa"/>
            </w:tcMar>
          </w:tcPr>
          <w:p>
            <w:pPr>
              <w:spacing w:after="0"/>
            </w:pPr>
            <w:r>
              <w:rPr>
                <w:color w:val="1F2937"/>
                <w:sz w:val="16"/>
              </w:rPr>
              <w:t>Product-level SLA, audit, billing, entitlements, and AI</w:t>
            </w:r>
          </w:p>
        </w:tc>
      </w:tr>
      <w:tr>
        <w:trPr>
          <w:cantSplit/>
        </w:trPr>
        <w:tc>
          <w:tcPr>
            <w:tcW w:type="dxa" w:w="4680"/>
            <w:shd w:fill="F8FAFC"/>
            <w:tcMar>
              <w:top w:w="70" w:type="dxa"/>
              <w:start w:w="90" w:type="dxa"/>
              <w:bottom w:w="70" w:type="dxa"/>
              <w:end w:w="90" w:type="dxa"/>
            </w:tcMar>
          </w:tcPr>
          <w:p>
            <w:pPr>
              <w:spacing w:after="0"/>
            </w:pPr>
            <w:r>
              <w:rPr>
                <w:color w:val="1F2937"/>
                <w:sz w:val="16"/>
              </w:rPr>
              <w:t>Agent assignment state used by Chatwoot</w:t>
            </w:r>
          </w:p>
        </w:tc>
        <w:tc>
          <w:tcPr>
            <w:tcW w:type="dxa" w:w="4968"/>
            <w:shd w:fill="F8FAFC"/>
            <w:tcMar>
              <w:top w:w="70" w:type="dxa"/>
              <w:start w:w="90" w:type="dxa"/>
              <w:bottom w:w="70" w:type="dxa"/>
              <w:end w:w="90" w:type="dxa"/>
            </w:tcMar>
          </w:tcPr>
          <w:p>
            <w:pPr>
              <w:spacing w:after="0"/>
            </w:pPr>
            <w:r>
              <w:rPr>
                <w:color w:val="1F2937"/>
                <w:sz w:val="16"/>
              </w:rPr>
              <w:t>Cross-domain relationships and reporting</w:t>
            </w:r>
          </w:p>
        </w:tc>
      </w:tr>
    </w:tbl>
    <w:tbl>
      <w:tblPr>
        <w:tblW w:type="auto" w:w="0"/>
        <w:jc w:val="center"/>
        <w:tblLayout w:type="fixed"/>
        <w:tblLook w:firstColumn="1" w:firstRow="1" w:lastColumn="0" w:lastRow="0" w:noHBand="0" w:noVBand="1" w:val="04A0"/>
      </w:tblPr>
      <w:tblGrid>
        <w:gridCol w:w="115"/>
        <w:gridCol w:w="10008"/>
      </w:tblGrid>
      <w:tr>
        <w:trPr>
          <w:cantSplit/>
        </w:trPr>
        <w:tc>
          <w:tcPr>
            <w:tcW w:type="dxa" w:w="5040"/>
            <w:shd w:fill="B91C1C"/>
            <w:tcMar>
              <w:top w:w="0" w:type="dxa"/>
              <w:start w:w="0" w:type="dxa"/>
              <w:bottom w:w="0" w:type="dxa"/>
              <w:end w:w="0" w:type="dxa"/>
            </w:tcMar>
          </w:tcPr>
          <w:p/>
        </w:tc>
        <w:tc>
          <w:tcPr>
            <w:tcW w:type="dxa" w:w="5040"/>
            <w:shd w:fill="FDECEC"/>
            <w:tcMar>
              <w:top w:w="95" w:type="dxa"/>
              <w:start w:w="130" w:type="dxa"/>
              <w:bottom w:w="95" w:type="dxa"/>
              <w:end w:w="130" w:type="dxa"/>
            </w:tcMar>
          </w:tcPr>
          <w:p>
            <w:pPr>
              <w:spacing w:after="40"/>
            </w:pPr>
            <w:r>
              <w:rPr>
                <w:b/>
                <w:color w:val="B91C1C"/>
                <w:sz w:val="19"/>
              </w:rPr>
              <w:t>Avoid database coupling</w:t>
            </w:r>
          </w:p>
          <w:p>
            <w:pPr>
              <w:spacing w:after="0" w:line="252" w:lineRule="auto"/>
            </w:pPr>
            <w:r>
              <w:rPr>
                <w:color w:val="1F2937"/>
                <w:sz w:val="18"/>
              </w:rPr>
              <w:t>Do not read or write Chatwoot’s PostgreSQL tables directly. Database-level integration bypasses authorization and application logic, binds the product to internal schemas, and makes upgrades significantly harder.</w:t>
            </w:r>
          </w:p>
        </w:tc>
      </w:tr>
    </w:tbl>
    <w:p>
      <w:pPr>
        <w:pStyle w:val="Heading1"/>
        <w:keepNext/>
        <w:keepLines/>
        <w:widowControl/>
      </w:pPr>
      <w:r>
        <w:t>9. Email and Channel Processing</w:t>
      </w:r>
    </w:p>
    <w:p>
      <w:pPr>
        <w:pStyle w:val="Heading2"/>
        <w:keepNext/>
        <w:keepLines/>
        <w:widowControl/>
      </w:pPr>
      <w:r>
        <w:t>9.1 Email flow</w:t>
      </w:r>
    </w:p>
    <w:tbl>
      <w:tblPr>
        <w:tblW w:type="auto" w:w="0"/>
        <w:jc w:val="center"/>
        <w:tblLayout w:type="autofit"/>
        <w:tblLook w:firstColumn="1" w:firstRow="1" w:lastColumn="0" w:lastRow="0" w:noHBand="0" w:noVBand="1" w:val="04A0"/>
      </w:tblPr>
      <w:tblGrid>
        <w:gridCol w:w="10080"/>
      </w:tblGrid>
      <w:tr>
        <w:tc>
          <w:tcPr>
            <w:tcW w:type="dxa" w:w="10080"/>
            <w:shd w:fill="F7F8FA"/>
            <w:tcBorders>
              <w:top w:val="single" w:sz="4" w:color="D0D7DE"/>
              <w:left w:val="single" w:sz="4" w:color="D0D7DE"/>
              <w:bottom w:val="single" w:sz="4" w:color="D0D7DE"/>
              <w:right w:val="single" w:sz="4" w:color="D0D7DE"/>
            </w:tcBorders>
            <w:tcMar>
              <w:top w:w="100" w:type="dxa"/>
              <w:start w:w="140" w:type="dxa"/>
              <w:bottom w:w="100" w:type="dxa"/>
              <w:end w:w="140" w:type="dxa"/>
            </w:tcMar>
          </w:tcPr>
          <w:p>
            <w:pPr>
              <w:spacing w:after="0"/>
            </w:pPr>
            <w:r>
              <w:rPr>
                <w:rFonts w:ascii="Liberation Mono" w:hAnsi="Liberation Mono" w:eastAsia="Liberation Mono"/>
                <w:color w:val="1F2937"/>
                <w:sz w:val="17"/>
              </w:rPr>
              <w:t>Inbound email</w:t>
              <w:br/>
              <w:t xml:space="preserve">  -&gt; Chatwoot mailbox / IMAP / provider integration</w:t>
              <w:br/>
              <w:t xml:space="preserve">  -&gt; Chatwoot contact and conversation resolution</w:t>
              <w:br/>
              <w:t xml:space="preserve">  -&gt; message persistence and attachment storage</w:t>
              <w:br/>
              <w:t xml:space="preserve">  -&gt; signed webhook to support gateway</w:t>
              <w:br/>
              <w:t xml:space="preserve">  -&gt; local read model / ticket linkage update</w:t>
              <w:br/>
              <w:t xml:space="preserve">  -&gt; Next.js inbox refresh</w:t>
              <w:br/>
              <w:br/>
              <w:t>Agent reply in custom UI</w:t>
              <w:br/>
              <w:t xml:space="preserve">  -&gt; support gateway authorization</w:t>
              <w:br/>
              <w:t xml:space="preserve">  -&gt; Chatwoot Application API message call</w:t>
              <w:br/>
              <w:t xml:space="preserve">  -&gt; Chatwoot provider delivery</w:t>
              <w:br/>
              <w:t xml:space="preserve">  -&gt; status webhook / reconciliation</w:t>
            </w:r>
          </w:p>
        </w:tc>
      </w:tr>
    </w:tbl>
    <w:p>
      <w:pPr>
        <w:pStyle w:val="Heading2"/>
        <w:keepNext/>
        <w:keepLines/>
        <w:widowControl/>
      </w:pPr>
      <w:r>
        <w:t>9.2 Channel responsibilities</w:t>
      </w:r>
    </w:p>
    <w:p>
      <w:pPr>
        <w:pStyle w:val="ListBullet"/>
        <w:spacing w:after="40"/>
        <w:widowControl/>
      </w:pPr>
      <w:r>
        <w:t>Keep mailbox polling, SMTP delivery, provider OAuth, threading, message identifiers, and attachment processing inside Chatwoot.</w:t>
      </w:r>
    </w:p>
    <w:p>
      <w:pPr>
        <w:pStyle w:val="ListBullet"/>
        <w:spacing w:after="40"/>
        <w:widowControl/>
      </w:pPr>
      <w:r>
        <w:t>Render sanitized message content in the custom UI; do not trust inbound HTML.</w:t>
      </w:r>
    </w:p>
    <w:p>
      <w:pPr>
        <w:pStyle w:val="ListBullet"/>
        <w:spacing w:after="40"/>
        <w:widowControl/>
      </w:pPr>
      <w:r>
        <w:t>Preserve provider message IDs and delivery state for idempotency and troubleshooting.</w:t>
      </w:r>
    </w:p>
    <w:p>
      <w:pPr>
        <w:pStyle w:val="ListBullet"/>
        <w:spacing w:after="40"/>
        <w:widowControl/>
      </w:pPr>
      <w:r>
        <w:t>Enforce file size, file type, malware scanning, and download authorization at the gateway or storage boundary.</w:t>
      </w:r>
    </w:p>
    <w:p>
      <w:pPr>
        <w:pStyle w:val="ListBullet"/>
        <w:spacing w:after="40"/>
        <w:widowControl/>
      </w:pPr>
      <w:r>
        <w:t>Use product-owned tickets only when the conversation meets the application’s business rules; not every conversation must become a ticket.</w:t>
      </w:r>
    </w:p>
    <w:p>
      <w:pPr>
        <w:pStyle w:val="Heading2"/>
        <w:keepNext/>
        <w:keepLines/>
        <w:widowControl/>
      </w:pPr>
      <w:r>
        <w:t>9.3 Administrative configuration</w:t>
      </w:r>
    </w:p>
    <w:p>
      <w:pPr>
        <w:widowControl/>
      </w:pPr>
      <w:r>
        <w:t>Channel setup should initially remain in the internal Chatwoot UI because provider OAuth, inbox configuration, and troubleshooting flows are already implemented there. Product-native administration can be added later through APIs where stable and justified.</w:t>
      </w:r>
    </w:p>
    <w:p>
      <w:pPr>
        <w:pStyle w:val="Heading1"/>
        <w:keepNext/>
        <w:keepLines/>
        <w:widowControl/>
      </w:pPr>
      <w:r>
        <w:t>10. Webhooks, Realtime Delivery, and Reconciliation</w:t>
      </w:r>
    </w:p>
    <w:p>
      <w:pPr>
        <w:pStyle w:val="Heading2"/>
        <w:keepNext/>
        <w:keepLines/>
        <w:widowControl/>
      </w:pPr>
      <w:r>
        <w:t>10.1 Webhook subscriptions</w:t>
      </w:r>
    </w:p>
    <w:p>
      <w:pPr>
        <w:widowControl/>
      </w:pPr>
      <w:r>
        <w:t>Chatwoot documents webhook subscriptions for conversation, contact, message, widget, and typing events. Signed deliveries include a timestamp, HMAC signature, and delivery identifier when available. [5]</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96"/>
            <w:shd w:fill="17365D"/>
            <w:tcMar>
              <w:top w:w="75" w:type="dxa"/>
              <w:start w:w="90" w:type="dxa"/>
              <w:bottom w:w="75" w:type="dxa"/>
              <w:end w:w="90" w:type="dxa"/>
            </w:tcMar>
          </w:tcPr>
          <w:p>
            <w:pPr>
              <w:jc w:val="left"/>
            </w:pPr>
            <w:r>
              <w:rPr>
                <w:b/>
                <w:color w:val="FFFFFF"/>
                <w:sz w:val="16"/>
              </w:rPr>
              <w:t>Event</w:t>
            </w:r>
          </w:p>
        </w:tc>
        <w:tc>
          <w:tcPr>
            <w:tcW w:type="dxa" w:w="6552"/>
            <w:shd w:fill="17365D"/>
            <w:tcMar>
              <w:top w:w="75" w:type="dxa"/>
              <w:start w:w="90" w:type="dxa"/>
              <w:bottom w:w="75" w:type="dxa"/>
              <w:end w:w="90" w:type="dxa"/>
            </w:tcMar>
          </w:tcPr>
          <w:p>
            <w:pPr>
              <w:jc w:val="left"/>
            </w:pPr>
            <w:r>
              <w:rPr>
                <w:b/>
                <w:color w:val="FFFFFF"/>
                <w:sz w:val="16"/>
              </w:rPr>
              <w:t>Gateway action</w:t>
            </w:r>
          </w:p>
        </w:tc>
      </w:tr>
      <w:tr>
        <w:trPr>
          <w:cantSplit/>
        </w:trPr>
        <w:tc>
          <w:tcPr>
            <w:tcW w:type="dxa" w:w="3096"/>
            <w:tcMar>
              <w:top w:w="70" w:type="dxa"/>
              <w:start w:w="90" w:type="dxa"/>
              <w:bottom w:w="70" w:type="dxa"/>
              <w:end w:w="90" w:type="dxa"/>
            </w:tcMar>
          </w:tcPr>
          <w:p>
            <w:pPr>
              <w:spacing w:after="0"/>
            </w:pPr>
            <w:r>
              <w:rPr>
                <w:color w:val="1F2937"/>
                <w:sz w:val="16"/>
              </w:rPr>
              <w:t>conversation_created</w:t>
            </w:r>
          </w:p>
        </w:tc>
        <w:tc>
          <w:tcPr>
            <w:tcW w:type="dxa" w:w="6552"/>
            <w:tcMar>
              <w:top w:w="70" w:type="dxa"/>
              <w:start w:w="90" w:type="dxa"/>
              <w:bottom w:w="70" w:type="dxa"/>
              <w:end w:w="90" w:type="dxa"/>
            </w:tcMar>
          </w:tcPr>
          <w:p>
            <w:pPr>
              <w:spacing w:after="0"/>
            </w:pPr>
            <w:r>
              <w:rPr>
                <w:color w:val="1F2937"/>
                <w:sz w:val="16"/>
              </w:rPr>
              <w:t>Create or update provider mapping; evaluate whether a proprietary ticket should be created.</w:t>
            </w:r>
          </w:p>
        </w:tc>
      </w:tr>
      <w:tr>
        <w:trPr>
          <w:cantSplit/>
        </w:trPr>
        <w:tc>
          <w:tcPr>
            <w:tcW w:type="dxa" w:w="3096"/>
            <w:shd w:fill="F8FAFC"/>
            <w:tcMar>
              <w:top w:w="70" w:type="dxa"/>
              <w:start w:w="90" w:type="dxa"/>
              <w:bottom w:w="70" w:type="dxa"/>
              <w:end w:w="90" w:type="dxa"/>
            </w:tcMar>
          </w:tcPr>
          <w:p>
            <w:pPr>
              <w:spacing w:after="0"/>
            </w:pPr>
            <w:r>
              <w:rPr>
                <w:color w:val="1F2937"/>
                <w:sz w:val="16"/>
              </w:rPr>
              <w:t>conversation_updated</w:t>
            </w:r>
          </w:p>
        </w:tc>
        <w:tc>
          <w:tcPr>
            <w:tcW w:type="dxa" w:w="6552"/>
            <w:shd w:fill="F8FAFC"/>
            <w:tcMar>
              <w:top w:w="70" w:type="dxa"/>
              <w:start w:w="90" w:type="dxa"/>
              <w:bottom w:w="70" w:type="dxa"/>
              <w:end w:w="90" w:type="dxa"/>
            </w:tcMar>
          </w:tcPr>
          <w:p>
            <w:pPr>
              <w:spacing w:after="0"/>
            </w:pPr>
            <w:r>
              <w:rPr>
                <w:color w:val="1F2937"/>
                <w:sz w:val="16"/>
              </w:rPr>
              <w:t>Refresh status, assignment, labels, priority, custom attributes, and timestamps.</w:t>
            </w:r>
          </w:p>
        </w:tc>
      </w:tr>
      <w:tr>
        <w:trPr>
          <w:cantSplit/>
        </w:trPr>
        <w:tc>
          <w:tcPr>
            <w:tcW w:type="dxa" w:w="3096"/>
            <w:tcMar>
              <w:top w:w="70" w:type="dxa"/>
              <w:start w:w="90" w:type="dxa"/>
              <w:bottom w:w="70" w:type="dxa"/>
              <w:end w:w="90" w:type="dxa"/>
            </w:tcMar>
          </w:tcPr>
          <w:p>
            <w:pPr>
              <w:spacing w:after="0"/>
            </w:pPr>
            <w:r>
              <w:rPr>
                <w:color w:val="1F2937"/>
                <w:sz w:val="16"/>
              </w:rPr>
              <w:t>conversation_status_changed</w:t>
            </w:r>
          </w:p>
        </w:tc>
        <w:tc>
          <w:tcPr>
            <w:tcW w:type="dxa" w:w="6552"/>
            <w:tcMar>
              <w:top w:w="70" w:type="dxa"/>
              <w:start w:w="90" w:type="dxa"/>
              <w:bottom w:w="70" w:type="dxa"/>
              <w:end w:w="90" w:type="dxa"/>
            </w:tcMar>
          </w:tcPr>
          <w:p>
            <w:pPr>
              <w:spacing w:after="0"/>
            </w:pPr>
            <w:r>
              <w:rPr>
                <w:color w:val="1F2937"/>
                <w:sz w:val="16"/>
              </w:rPr>
              <w:t>Update local read model and publish a product event.</w:t>
            </w:r>
          </w:p>
        </w:tc>
      </w:tr>
      <w:tr>
        <w:trPr>
          <w:cantSplit/>
        </w:trPr>
        <w:tc>
          <w:tcPr>
            <w:tcW w:type="dxa" w:w="3096"/>
            <w:shd w:fill="F8FAFC"/>
            <w:tcMar>
              <w:top w:w="70" w:type="dxa"/>
              <w:start w:w="90" w:type="dxa"/>
              <w:bottom w:w="70" w:type="dxa"/>
              <w:end w:w="90" w:type="dxa"/>
            </w:tcMar>
          </w:tcPr>
          <w:p>
            <w:pPr>
              <w:spacing w:after="0"/>
            </w:pPr>
            <w:r>
              <w:rPr>
                <w:color w:val="1F2937"/>
                <w:sz w:val="16"/>
              </w:rPr>
              <w:t>message_created</w:t>
            </w:r>
          </w:p>
        </w:tc>
        <w:tc>
          <w:tcPr>
            <w:tcW w:type="dxa" w:w="6552"/>
            <w:shd w:fill="F8FAFC"/>
            <w:tcMar>
              <w:top w:w="70" w:type="dxa"/>
              <w:start w:w="90" w:type="dxa"/>
              <w:bottom w:w="70" w:type="dxa"/>
              <w:end w:w="90" w:type="dxa"/>
            </w:tcMar>
          </w:tcPr>
          <w:p>
            <w:pPr>
              <w:spacing w:after="0"/>
            </w:pPr>
            <w:r>
              <w:rPr>
                <w:color w:val="1F2937"/>
                <w:sz w:val="16"/>
              </w:rPr>
              <w:t>Persist message summary, update unread state, and notify subscribed UI sessions.</w:t>
            </w:r>
          </w:p>
        </w:tc>
      </w:tr>
      <w:tr>
        <w:trPr>
          <w:cantSplit/>
        </w:trPr>
        <w:tc>
          <w:tcPr>
            <w:tcW w:type="dxa" w:w="3096"/>
            <w:tcMar>
              <w:top w:w="70" w:type="dxa"/>
              <w:start w:w="90" w:type="dxa"/>
              <w:bottom w:w="70" w:type="dxa"/>
              <w:end w:w="90" w:type="dxa"/>
            </w:tcMar>
          </w:tcPr>
          <w:p>
            <w:pPr>
              <w:spacing w:after="0"/>
            </w:pPr>
            <w:r>
              <w:rPr>
                <w:color w:val="1F2937"/>
                <w:sz w:val="16"/>
              </w:rPr>
              <w:t>message_updated</w:t>
            </w:r>
          </w:p>
        </w:tc>
        <w:tc>
          <w:tcPr>
            <w:tcW w:type="dxa" w:w="6552"/>
            <w:tcMar>
              <w:top w:w="70" w:type="dxa"/>
              <w:start w:w="90" w:type="dxa"/>
              <w:bottom w:w="70" w:type="dxa"/>
              <w:end w:w="90" w:type="dxa"/>
            </w:tcMar>
          </w:tcPr>
          <w:p>
            <w:pPr>
              <w:spacing w:after="0"/>
            </w:pPr>
            <w:r>
              <w:rPr>
                <w:color w:val="1F2937"/>
                <w:sz w:val="16"/>
              </w:rPr>
              <w:t>Refresh delivery or content state.</w:t>
            </w:r>
          </w:p>
        </w:tc>
      </w:tr>
      <w:tr>
        <w:trPr>
          <w:cantSplit/>
        </w:trPr>
        <w:tc>
          <w:tcPr>
            <w:tcW w:type="dxa" w:w="3096"/>
            <w:shd w:fill="F8FAFC"/>
            <w:tcMar>
              <w:top w:w="70" w:type="dxa"/>
              <w:start w:w="90" w:type="dxa"/>
              <w:bottom w:w="70" w:type="dxa"/>
              <w:end w:w="90" w:type="dxa"/>
            </w:tcMar>
          </w:tcPr>
          <w:p>
            <w:pPr>
              <w:spacing w:after="0"/>
            </w:pPr>
            <w:r>
              <w:rPr>
                <w:color w:val="1F2937"/>
                <w:sz w:val="16"/>
              </w:rPr>
              <w:t>contact_created / contact_updated</w:t>
            </w:r>
          </w:p>
        </w:tc>
        <w:tc>
          <w:tcPr>
            <w:tcW w:type="dxa" w:w="6552"/>
            <w:shd w:fill="F8FAFC"/>
            <w:tcMar>
              <w:top w:w="70" w:type="dxa"/>
              <w:start w:w="90" w:type="dxa"/>
              <w:bottom w:w="70" w:type="dxa"/>
              <w:end w:w="90" w:type="dxa"/>
            </w:tcMar>
          </w:tcPr>
          <w:p>
            <w:pPr>
              <w:spacing w:after="0"/>
            </w:pPr>
            <w:r>
              <w:rPr>
                <w:color w:val="1F2937"/>
                <w:sz w:val="16"/>
              </w:rPr>
              <w:t>Refresh the mapped communications contact.</w:t>
            </w:r>
          </w:p>
        </w:tc>
      </w:tr>
      <w:tr>
        <w:trPr>
          <w:cantSplit/>
        </w:trPr>
        <w:tc>
          <w:tcPr>
            <w:tcW w:type="dxa" w:w="3096"/>
            <w:tcMar>
              <w:top w:w="70" w:type="dxa"/>
              <w:start w:w="90" w:type="dxa"/>
              <w:bottom w:w="70" w:type="dxa"/>
              <w:end w:w="90" w:type="dxa"/>
            </w:tcMar>
          </w:tcPr>
          <w:p>
            <w:pPr>
              <w:spacing w:after="0"/>
            </w:pPr>
            <w:r>
              <w:rPr>
                <w:color w:val="1F2937"/>
                <w:sz w:val="16"/>
              </w:rPr>
              <w:t>conversation_typing_on / off</w:t>
            </w:r>
          </w:p>
        </w:tc>
        <w:tc>
          <w:tcPr>
            <w:tcW w:type="dxa" w:w="6552"/>
            <w:tcMar>
              <w:top w:w="70" w:type="dxa"/>
              <w:start w:w="90" w:type="dxa"/>
              <w:bottom w:w="70" w:type="dxa"/>
              <w:end w:w="90" w:type="dxa"/>
            </w:tcMar>
          </w:tcPr>
          <w:p>
            <w:pPr>
              <w:spacing w:after="0"/>
            </w:pPr>
            <w:r>
              <w:rPr>
                <w:color w:val="1F2937"/>
                <w:sz w:val="16"/>
              </w:rPr>
              <w:t>Publish an ephemeral realtime event; do not persist as business state.</w:t>
            </w:r>
          </w:p>
        </w:tc>
      </w:tr>
      <w:tr>
        <w:trPr>
          <w:cantSplit/>
        </w:trPr>
        <w:tc>
          <w:tcPr>
            <w:tcW w:type="dxa" w:w="3096"/>
            <w:shd w:fill="F8FAFC"/>
            <w:tcMar>
              <w:top w:w="70" w:type="dxa"/>
              <w:start w:w="90" w:type="dxa"/>
              <w:bottom w:w="70" w:type="dxa"/>
              <w:end w:w="90" w:type="dxa"/>
            </w:tcMar>
          </w:tcPr>
          <w:p>
            <w:pPr>
              <w:spacing w:after="0"/>
            </w:pPr>
            <w:r>
              <w:rPr>
                <w:color w:val="1F2937"/>
                <w:sz w:val="16"/>
              </w:rPr>
              <w:t>webwidget_triggered</w:t>
            </w:r>
          </w:p>
        </w:tc>
        <w:tc>
          <w:tcPr>
            <w:tcW w:type="dxa" w:w="6552"/>
            <w:shd w:fill="F8FAFC"/>
            <w:tcMar>
              <w:top w:w="70" w:type="dxa"/>
              <w:start w:w="90" w:type="dxa"/>
              <w:bottom w:w="70" w:type="dxa"/>
              <w:end w:w="90" w:type="dxa"/>
            </w:tcMar>
          </w:tcPr>
          <w:p>
            <w:pPr>
              <w:spacing w:after="0"/>
            </w:pPr>
            <w:r>
              <w:rPr>
                <w:color w:val="1F2937"/>
                <w:sz w:val="16"/>
              </w:rPr>
              <w:t>Process only if the standard widget or compatible client flow is used.</w:t>
            </w:r>
          </w:p>
        </w:tc>
      </w:tr>
    </w:tbl>
    <w:p>
      <w:pPr>
        <w:pStyle w:val="Heading2"/>
        <w:keepNext/>
        <w:keepLines/>
        <w:widowControl/>
      </w:pPr>
      <w:r>
        <w:t>10.2 Verification algorithm</w:t>
      </w:r>
    </w:p>
    <w:p>
      <w:pPr>
        <w:spacing w:after="40"/>
        <w:ind w:left="0" w:firstLine="0"/>
        <w:widowControl/>
      </w:pPr>
      <w:r>
        <w:t xml:space="preserve">1.  </w:t>
      </w:r>
      <w:r>
        <w:t>Read the raw HTTP request body before JSON parsing.</w:t>
      </w:r>
    </w:p>
    <w:p>
      <w:pPr>
        <w:spacing w:after="40"/>
        <w:ind w:left="0" w:firstLine="0"/>
        <w:widowControl/>
      </w:pPr>
      <w:r>
        <w:t xml:space="preserve">2.  </w:t>
      </w:r>
      <w:r>
        <w:t>Validate X-Chatwoot-Timestamp against a narrow acceptable time window.</w:t>
      </w:r>
    </w:p>
    <w:p>
      <w:pPr>
        <w:spacing w:after="40"/>
        <w:ind w:left="0" w:firstLine="0"/>
        <w:widowControl/>
      </w:pPr>
      <w:r>
        <w:t xml:space="preserve">3.  </w:t>
      </w:r>
      <w:r>
        <w:t>Compute HMAC-SHA256 over “{timestamp}.{raw_request_body}” using the webhook secret.</w:t>
      </w:r>
    </w:p>
    <w:p>
      <w:pPr>
        <w:spacing w:after="40"/>
        <w:ind w:left="0" w:firstLine="0"/>
        <w:widowControl/>
      </w:pPr>
      <w:r>
        <w:t xml:space="preserve">4.  </w:t>
      </w:r>
      <w:r>
        <w:t>Compare the computed signature using a constant-time function.</w:t>
      </w:r>
    </w:p>
    <w:p>
      <w:pPr>
        <w:spacing w:after="40"/>
        <w:ind w:left="0" w:firstLine="0"/>
        <w:widowControl/>
      </w:pPr>
      <w:r>
        <w:t xml:space="preserve">5.  </w:t>
      </w:r>
      <w:r>
        <w:t>Deduplicate using X-Chatwoot-Delivery when present; otherwise use a deterministic event fingerprint.</w:t>
      </w:r>
    </w:p>
    <w:p>
      <w:pPr>
        <w:spacing w:after="40"/>
        <w:ind w:left="0" w:firstLine="0"/>
        <w:widowControl/>
      </w:pPr>
      <w:r>
        <w:t xml:space="preserve">6.  </w:t>
      </w:r>
      <w:r>
        <w:t>Persist receipt state before asynchronous processing.</w:t>
      </w:r>
    </w:p>
    <w:p>
      <w:pPr>
        <w:spacing w:after="40"/>
        <w:ind w:left="0" w:firstLine="0"/>
        <w:widowControl/>
      </w:pPr>
      <w:r>
        <w:t xml:space="preserve">7.  </w:t>
      </w:r>
      <w:r>
        <w:t>Return success promptly and perform downstream work from a queue.</w:t>
      </w:r>
    </w:p>
    <w:p>
      <w:pPr>
        <w:pStyle w:val="Heading2"/>
        <w:keepNext/>
        <w:keepLines/>
        <w:widowControl/>
      </w:pPr>
      <w:r>
        <w:t>10.3 Reconciliation</w:t>
      </w:r>
    </w:p>
    <w:p>
      <w:pPr>
        <w:widowControl/>
      </w:pPr>
      <w:r>
        <w:t>Webhooks provide low-latency notification but should not be the sole consistency mechanism. Run periodic reconciliation that retrieves recently changed conversations and messages, compares them with the local read model, repairs gaps, and reports persistent mismatches.</w:t>
      </w:r>
    </w:p>
    <w:tbl>
      <w:tblPr>
        <w:tblW w:type="auto" w:w="0"/>
        <w:jc w:val="center"/>
        <w:tblLayout w:type="fixed"/>
        <w:tblLook w:firstColumn="1" w:firstRow="1" w:lastColumn="0" w:lastRow="0" w:noHBand="0" w:noVBand="1" w:val="04A0"/>
      </w:tblPr>
      <w:tblGrid>
        <w:gridCol w:w="115"/>
        <w:gridCol w:w="10008"/>
      </w:tblGrid>
      <w:tr>
        <w:trPr>
          <w:cantSplit/>
        </w:trPr>
        <w:tc>
          <w:tcPr>
            <w:tcW w:type="dxa" w:w="5040"/>
            <w:shd w:fill="B26A00"/>
            <w:tcMar>
              <w:top w:w="0" w:type="dxa"/>
              <w:start w:w="0" w:type="dxa"/>
              <w:bottom w:w="0" w:type="dxa"/>
              <w:end w:w="0" w:type="dxa"/>
            </w:tcMar>
          </w:tcPr>
          <w:p/>
        </w:tc>
        <w:tc>
          <w:tcPr>
            <w:tcW w:type="dxa" w:w="5040"/>
            <w:shd w:fill="FFF4CE"/>
            <w:tcMar>
              <w:top w:w="95" w:type="dxa"/>
              <w:start w:w="130" w:type="dxa"/>
              <w:bottom w:w="95" w:type="dxa"/>
              <w:end w:w="130" w:type="dxa"/>
            </w:tcMar>
          </w:tcPr>
          <w:p>
            <w:pPr>
              <w:spacing w:after="40"/>
            </w:pPr>
            <w:r>
              <w:rPr>
                <w:b/>
                <w:color w:val="B26A00"/>
                <w:sz w:val="19"/>
              </w:rPr>
              <w:t>Version validation requirement</w:t>
            </w:r>
          </w:p>
          <w:p>
            <w:pPr>
              <w:spacing w:after="0" w:line="252" w:lineRule="auto"/>
            </w:pPr>
            <w:r>
              <w:rPr>
                <w:color w:val="1F2937"/>
                <w:sz w:val="18"/>
              </w:rPr>
              <w:t>Test webhook signature generation and verification against the exact Chatwoot CE version selected for production. Do not disable verification or accept unsigned public webhook traffic to work around an implementation mismatch.</w:t>
            </w:r>
          </w:p>
        </w:tc>
      </w:tr>
    </w:tbl>
    <w:p>
      <w:pPr>
        <w:pStyle w:val="Heading1"/>
        <w:keepNext/>
        <w:keepLines/>
        <w:widowControl/>
      </w:pPr>
      <w:r>
        <w:t>11. API Compatibility and Provider Abstraction</w:t>
      </w:r>
    </w:p>
    <w:p>
      <w:pPr>
        <w:pStyle w:val="Heading2"/>
        <w:keepNext/>
        <w:keepLines/>
        <w:widowControl/>
      </w:pPr>
      <w:r>
        <w:t>11.1 Provider-neutral contract</w:t>
      </w:r>
    </w:p>
    <w:p>
      <w:pPr>
        <w:widowControl/>
      </w:pPr>
      <w:r>
        <w:t>The custom UI must depend on product-owned DTOs and interfaces, not Chatwoot response objects. This is the primary mechanism that makes Chatwoot replaceable and reduces upgrade impact.</w:t>
      </w:r>
    </w:p>
    <w:tbl>
      <w:tblPr>
        <w:tblW w:type="auto" w:w="0"/>
        <w:jc w:val="center"/>
        <w:tblLayout w:type="autofit"/>
        <w:tblLook w:firstColumn="1" w:firstRow="1" w:lastColumn="0" w:lastRow="0" w:noHBand="0" w:noVBand="1" w:val="04A0"/>
      </w:tblPr>
      <w:tblGrid>
        <w:gridCol w:w="10080"/>
      </w:tblGrid>
      <w:tr>
        <w:tc>
          <w:tcPr>
            <w:tcW w:type="dxa" w:w="10080"/>
            <w:shd w:fill="F7F8FA"/>
            <w:tcBorders>
              <w:top w:val="single" w:sz="4" w:color="D0D7DE"/>
              <w:left w:val="single" w:sz="4" w:color="D0D7DE"/>
              <w:bottom w:val="single" w:sz="4" w:color="D0D7DE"/>
              <w:right w:val="single" w:sz="4" w:color="D0D7DE"/>
            </w:tcBorders>
            <w:tcMar>
              <w:top w:w="100" w:type="dxa"/>
              <w:start w:w="140" w:type="dxa"/>
              <w:bottom w:w="100" w:type="dxa"/>
              <w:end w:w="140" w:type="dxa"/>
            </w:tcMar>
          </w:tcPr>
          <w:p>
            <w:pPr>
              <w:spacing w:after="0"/>
            </w:pPr>
            <w:r>
              <w:rPr>
                <w:rFonts w:ascii="Liberation Mono" w:hAnsi="Liberation Mono" w:eastAsia="Liberation Mono"/>
                <w:color w:val="1F2937"/>
                <w:sz w:val="17"/>
              </w:rPr>
              <w:t>export interface SupportProvider {</w:t>
              <w:br/>
              <w:t xml:space="preserve">  listConversations(context, filter): Promise&lt;ConversationPage&gt;;</w:t>
              <w:br/>
              <w:t xml:space="preserve">  getConversation(context, id): Promise&lt;Conversation&gt;;</w:t>
              <w:br/>
              <w:t xml:space="preserve">  listMessages(context, id, cursor?): Promise&lt;MessagePage&gt;;</w:t>
              <w:br/>
              <w:t xml:space="preserve">  sendReply(context, id, input): Promise&lt;Message&gt;;</w:t>
              <w:br/>
              <w:t xml:space="preserve">  createPrivateNote(context, id, input): Promise&lt;Message&gt;;</w:t>
              <w:br/>
              <w:t xml:space="preserve">  setStatus(context, id, status): Promise&lt;void&gt;;</w:t>
              <w:br/>
              <w:t xml:space="preserve">  assign(context, id, assignment): Promise&lt;void&gt;;</w:t>
              <w:br/>
              <w:t xml:space="preserve">  updateLabels(context, id, labels): Promise&lt;void&gt;;</w:t>
              <w:br/>
              <w:t>}</w:t>
              <w:br/>
              <w:br/>
              <w:t>export class ChatwootSupportProvider implements SupportProvider { ... }</w:t>
            </w:r>
          </w:p>
        </w:tc>
      </w:tr>
    </w:tbl>
    <w:p>
      <w:pPr>
        <w:pStyle w:val="Heading2"/>
        <w:keepNext/>
        <w:keepLines/>
        <w:widowControl/>
      </w:pPr>
      <w:r>
        <w:t>11.2 Compatibility controls</w:t>
      </w:r>
    </w:p>
    <w:p>
      <w:pPr>
        <w:pStyle w:val="ListBullet"/>
        <w:spacing w:after="40"/>
        <w:widowControl/>
      </w:pPr>
      <w:r>
        <w:t>Generate a TypeScript client from Chatwoot’s checked-in Swagger/OpenAPI material as a starting point, not as the UI contract.</w:t>
      </w:r>
    </w:p>
    <w:p>
      <w:pPr>
        <w:pStyle w:val="ListBullet"/>
        <w:spacing w:after="40"/>
        <w:widowControl/>
      </w:pPr>
      <w:r>
        <w:t>Validate provider responses at runtime using schemas such as Zod, TypeBox, or equivalent.</w:t>
      </w:r>
    </w:p>
    <w:p>
      <w:pPr>
        <w:pStyle w:val="ListBullet"/>
        <w:spacing w:after="40"/>
        <w:widowControl/>
      </w:pPr>
      <w:r>
        <w:t>Normalize timestamps, enum values, pagination, attachment metadata, and nullable fields.</w:t>
      </w:r>
    </w:p>
    <w:p>
      <w:pPr>
        <w:pStyle w:val="ListBullet"/>
        <w:spacing w:after="40"/>
        <w:widowControl/>
      </w:pPr>
      <w:r>
        <w:t>Keep Chatwoot numeric IDs inside the provider adapter and mapping tables.</w:t>
      </w:r>
    </w:p>
    <w:p>
      <w:pPr>
        <w:pStyle w:val="ListBullet"/>
        <w:spacing w:after="40"/>
        <w:widowControl/>
      </w:pPr>
      <w:r>
        <w:t>Run contract tests against the pinned production image and the proposed upgrade image.</w:t>
      </w:r>
    </w:p>
    <w:p>
      <w:pPr>
        <w:pStyle w:val="ListBullet"/>
        <w:spacing w:after="40"/>
        <w:widowControl/>
      </w:pPr>
      <w:r>
        <w:t>Record unsupported or undocumented provider behavior as explicit adapter tests.</w:t>
      </w:r>
    </w:p>
    <w:p>
      <w:pPr>
        <w:pStyle w:val="Heading2"/>
        <w:keepNext/>
        <w:keepLines/>
        <w:widowControl/>
      </w:pPr>
      <w:r>
        <w:t>11.3 Caching guidance</w:t>
      </w:r>
    </w:p>
    <w:p>
      <w:pPr>
        <w:pStyle w:val="ListBullet"/>
        <w:spacing w:after="40"/>
        <w:widowControl/>
      </w:pPr>
      <w:r>
        <w:t>Cache read-heavy lists and counts only when the UI can display freshness and tolerate short staleness.</w:t>
      </w:r>
    </w:p>
    <w:p>
      <w:pPr>
        <w:pStyle w:val="ListBullet"/>
        <w:spacing w:after="40"/>
        <w:widowControl/>
      </w:pPr>
      <w:r>
        <w:t>Do not cache authorization decisions across tenant or role changes without explicit invalidation.</w:t>
      </w:r>
    </w:p>
    <w:p>
      <w:pPr>
        <w:pStyle w:val="ListBullet"/>
        <w:spacing w:after="40"/>
        <w:widowControl/>
      </w:pPr>
      <w:r>
        <w:t>Use webhook events to invalidate or update cached conversation and message records.</w:t>
      </w:r>
    </w:p>
    <w:p>
      <w:pPr>
        <w:pStyle w:val="ListBullet"/>
        <w:spacing w:after="40"/>
        <w:widowControl/>
      </w:pPr>
      <w:r>
        <w:t>Avoid making the cache the canonical record for outbound writes.</w:t>
      </w:r>
    </w:p>
    <w:p>
      <w:pPr>
        <w:pStyle w:val="Heading1"/>
        <w:keepNext/>
        <w:keepLines/>
        <w:widowControl/>
      </w:pPr>
      <w:r>
        <w:t>12. Deployment and Operations</w:t>
      </w:r>
    </w:p>
    <w:p>
      <w:pPr>
        <w:pStyle w:val="Heading2"/>
        <w:keepNext/>
        <w:keepLines/>
        <w:widowControl/>
      </w:pPr>
      <w:r>
        <w:t>12.1 Image selection</w:t>
      </w:r>
    </w:p>
    <w:p>
      <w:pPr>
        <w:widowControl/>
      </w:pPr>
      <w:r>
        <w:t>Chatwoot documents Community Edition image tags using latest-ce and version-specific v*-ce patterns. Production must use a version-specific CE tag rather than latest-ce. [6]</w:t>
      </w:r>
    </w:p>
    <w:tbl>
      <w:tblPr>
        <w:tblW w:type="auto" w:w="0"/>
        <w:jc w:val="center"/>
        <w:tblLayout w:type="autofit"/>
        <w:tblLook w:firstColumn="1" w:firstRow="1" w:lastColumn="0" w:lastRow="0" w:noHBand="0" w:noVBand="1" w:val="04A0"/>
      </w:tblPr>
      <w:tblGrid>
        <w:gridCol w:w="10080"/>
      </w:tblGrid>
      <w:tr>
        <w:tc>
          <w:tcPr>
            <w:tcW w:type="dxa" w:w="10080"/>
            <w:shd w:fill="F7F8FA"/>
            <w:tcBorders>
              <w:top w:val="single" w:sz="4" w:color="D0D7DE"/>
              <w:left w:val="single" w:sz="4" w:color="D0D7DE"/>
              <w:bottom w:val="single" w:sz="4" w:color="D0D7DE"/>
              <w:right w:val="single" w:sz="4" w:color="D0D7DE"/>
            </w:tcBorders>
            <w:tcMar>
              <w:top w:w="100" w:type="dxa"/>
              <w:start w:w="140" w:type="dxa"/>
              <w:bottom w:w="100" w:type="dxa"/>
              <w:end w:w="140" w:type="dxa"/>
            </w:tcMar>
          </w:tcPr>
          <w:p>
            <w:pPr>
              <w:spacing w:after="0"/>
            </w:pPr>
            <w:r>
              <w:rPr>
                <w:rFonts w:ascii="Liberation Mono" w:hAnsi="Liberation Mono" w:eastAsia="Liberation Mono"/>
                <w:color w:val="1F2937"/>
                <w:sz w:val="17"/>
              </w:rPr>
              <w:t>chatwoot/chatwoot:vX.Y.Z-ce</w:t>
            </w:r>
          </w:p>
        </w:tc>
      </w:tr>
    </w:tbl>
    <w:p>
      <w:pPr>
        <w:pStyle w:val="Heading2"/>
        <w:keepNext/>
        <w:keepLines/>
        <w:widowControl/>
      </w:pPr>
      <w:r>
        <w:t>12.2 Required runtime services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7365D"/>
            <w:tcMar>
              <w:top w:w="75" w:type="dxa"/>
              <w:start w:w="90" w:type="dxa"/>
              <w:bottom w:w="75" w:type="dxa"/>
              <w:end w:w="90" w:type="dxa"/>
            </w:tcMar>
          </w:tcPr>
          <w:p>
            <w:pPr>
              <w:jc w:val="left"/>
            </w:pPr>
            <w:r>
              <w:rPr>
                <w:b/>
                <w:color w:val="FFFFFF"/>
                <w:sz w:val="16"/>
              </w:rPr>
              <w:t>Service</w:t>
            </w:r>
          </w:p>
        </w:tc>
        <w:tc>
          <w:tcPr>
            <w:tcW w:type="dxa" w:w="3168"/>
            <w:shd w:fill="17365D"/>
            <w:tcMar>
              <w:top w:w="75" w:type="dxa"/>
              <w:start w:w="90" w:type="dxa"/>
              <w:bottom w:w="75" w:type="dxa"/>
              <w:end w:w="90" w:type="dxa"/>
            </w:tcMar>
          </w:tcPr>
          <w:p>
            <w:pPr>
              <w:jc w:val="left"/>
            </w:pPr>
            <w:r>
              <w:rPr>
                <w:b/>
                <w:color w:val="FFFFFF"/>
                <w:sz w:val="16"/>
              </w:rPr>
              <w:t>Purpose</w:t>
            </w:r>
          </w:p>
        </w:tc>
        <w:tc>
          <w:tcPr>
            <w:tcW w:type="dxa" w:w="4536"/>
            <w:shd w:fill="17365D"/>
            <w:tcMar>
              <w:top w:w="75" w:type="dxa"/>
              <w:start w:w="90" w:type="dxa"/>
              <w:bottom w:w="75" w:type="dxa"/>
              <w:end w:w="90" w:type="dxa"/>
            </w:tcMar>
          </w:tcPr>
          <w:p>
            <w:pPr>
              <w:jc w:val="left"/>
            </w:pPr>
            <w:r>
              <w:rPr>
                <w:b/>
                <w:color w:val="FFFFFF"/>
                <w:sz w:val="16"/>
              </w:rPr>
              <w:t>Operational requirements</w:t>
            </w:r>
          </w:p>
        </w:tc>
      </w:tr>
      <w:tr>
        <w:trPr>
          <w:cantSplit/>
        </w:trPr>
        <w:tc>
          <w:tcPr>
            <w:tcW w:type="dxa" w:w="1944"/>
            <w:tcMar>
              <w:top w:w="70" w:type="dxa"/>
              <w:start w:w="90" w:type="dxa"/>
              <w:bottom w:w="70" w:type="dxa"/>
              <w:end w:w="90" w:type="dxa"/>
            </w:tcMar>
          </w:tcPr>
          <w:p>
            <w:pPr>
              <w:spacing w:after="0"/>
            </w:pPr>
            <w:r>
              <w:rPr>
                <w:color w:val="1F2937"/>
                <w:sz w:val="16"/>
              </w:rPr>
              <w:t>Chatwoot web</w:t>
            </w:r>
          </w:p>
        </w:tc>
        <w:tc>
          <w:tcPr>
            <w:tcW w:type="dxa" w:w="3168"/>
            <w:tcMar>
              <w:top w:w="70" w:type="dxa"/>
              <w:start w:w="90" w:type="dxa"/>
              <w:bottom w:w="70" w:type="dxa"/>
              <w:end w:w="90" w:type="dxa"/>
            </w:tcMar>
          </w:tcPr>
          <w:p>
            <w:pPr>
              <w:spacing w:after="0"/>
            </w:pPr>
            <w:r>
              <w:rPr>
                <w:color w:val="1F2937"/>
                <w:sz w:val="16"/>
              </w:rPr>
              <w:t>Rails API and internal UI</w:t>
            </w:r>
          </w:p>
        </w:tc>
        <w:tc>
          <w:tcPr>
            <w:tcW w:type="dxa" w:w="4536"/>
            <w:tcMar>
              <w:top w:w="70" w:type="dxa"/>
              <w:start w:w="90" w:type="dxa"/>
              <w:bottom w:w="70" w:type="dxa"/>
              <w:end w:w="90" w:type="dxa"/>
            </w:tcMar>
          </w:tcPr>
          <w:p>
            <w:pPr>
              <w:spacing w:after="0"/>
            </w:pPr>
            <w:r>
              <w:rPr>
                <w:color w:val="1F2937"/>
                <w:sz w:val="16"/>
              </w:rPr>
              <w:t>Private ingress, horizontal scaling where needed, health checks, TLS.</w:t>
            </w:r>
          </w:p>
        </w:tc>
      </w:tr>
      <w:tr>
        <w:trPr>
          <w:cantSplit/>
        </w:trPr>
        <w:tc>
          <w:tcPr>
            <w:tcW w:type="dxa" w:w="1944"/>
            <w:shd w:fill="F8FAFC"/>
            <w:tcMar>
              <w:top w:w="70" w:type="dxa"/>
              <w:start w:w="90" w:type="dxa"/>
              <w:bottom w:w="70" w:type="dxa"/>
              <w:end w:w="90" w:type="dxa"/>
            </w:tcMar>
          </w:tcPr>
          <w:p>
            <w:pPr>
              <w:spacing w:after="0"/>
            </w:pPr>
            <w:r>
              <w:rPr>
                <w:color w:val="1F2937"/>
                <w:sz w:val="16"/>
              </w:rPr>
              <w:t>Sidekiq workers</w:t>
            </w:r>
          </w:p>
        </w:tc>
        <w:tc>
          <w:tcPr>
            <w:tcW w:type="dxa" w:w="3168"/>
            <w:shd w:fill="F8FAFC"/>
            <w:tcMar>
              <w:top w:w="70" w:type="dxa"/>
              <w:start w:w="90" w:type="dxa"/>
              <w:bottom w:w="70" w:type="dxa"/>
              <w:end w:w="90" w:type="dxa"/>
            </w:tcMar>
          </w:tcPr>
          <w:p>
            <w:pPr>
              <w:spacing w:after="0"/>
            </w:pPr>
            <w:r>
              <w:rPr>
                <w:color w:val="1F2937"/>
                <w:sz w:val="16"/>
              </w:rPr>
              <w:t>Asynchronous email, webhook, and background processing</w:t>
            </w:r>
          </w:p>
        </w:tc>
        <w:tc>
          <w:tcPr>
            <w:tcW w:type="dxa" w:w="4536"/>
            <w:shd w:fill="F8FAFC"/>
            <w:tcMar>
              <w:top w:w="70" w:type="dxa"/>
              <w:start w:w="90" w:type="dxa"/>
              <w:bottom w:w="70" w:type="dxa"/>
              <w:end w:w="90" w:type="dxa"/>
            </w:tcMar>
          </w:tcPr>
          <w:p>
            <w:pPr>
              <w:spacing w:after="0"/>
            </w:pPr>
            <w:r>
              <w:rPr>
                <w:color w:val="1F2937"/>
                <w:sz w:val="16"/>
              </w:rPr>
              <w:t>Separate scaling and queue monitoring.</w:t>
            </w:r>
          </w:p>
        </w:tc>
      </w:tr>
      <w:tr>
        <w:trPr>
          <w:cantSplit/>
        </w:trPr>
        <w:tc>
          <w:tcPr>
            <w:tcW w:type="dxa" w:w="1944"/>
            <w:tcMar>
              <w:top w:w="70" w:type="dxa"/>
              <w:start w:w="90" w:type="dxa"/>
              <w:bottom w:w="70" w:type="dxa"/>
              <w:end w:w="90" w:type="dxa"/>
            </w:tcMar>
          </w:tcPr>
          <w:p>
            <w:pPr>
              <w:spacing w:after="0"/>
            </w:pPr>
            <w:r>
              <w:rPr>
                <w:color w:val="1F2937"/>
                <w:sz w:val="16"/>
              </w:rPr>
              <w:t>PostgreSQL</w:t>
            </w:r>
          </w:p>
        </w:tc>
        <w:tc>
          <w:tcPr>
            <w:tcW w:type="dxa" w:w="3168"/>
            <w:tcMar>
              <w:top w:w="70" w:type="dxa"/>
              <w:start w:w="90" w:type="dxa"/>
              <w:bottom w:w="70" w:type="dxa"/>
              <w:end w:w="90" w:type="dxa"/>
            </w:tcMar>
          </w:tcPr>
          <w:p>
            <w:pPr>
              <w:spacing w:after="0"/>
            </w:pPr>
            <w:r>
              <w:rPr>
                <w:color w:val="1F2937"/>
                <w:sz w:val="16"/>
              </w:rPr>
              <w:t>Canonical Chatwoot database</w:t>
            </w:r>
          </w:p>
        </w:tc>
        <w:tc>
          <w:tcPr>
            <w:tcW w:type="dxa" w:w="4536"/>
            <w:tcMar>
              <w:top w:w="70" w:type="dxa"/>
              <w:start w:w="90" w:type="dxa"/>
              <w:bottom w:w="70" w:type="dxa"/>
              <w:end w:w="90" w:type="dxa"/>
            </w:tcMar>
          </w:tcPr>
          <w:p>
            <w:pPr>
              <w:spacing w:after="0"/>
            </w:pPr>
            <w:r>
              <w:rPr>
                <w:color w:val="1F2937"/>
                <w:sz w:val="16"/>
              </w:rPr>
              <w:t>Managed backups, PITR, encryption, migration control.</w:t>
            </w:r>
          </w:p>
        </w:tc>
      </w:tr>
      <w:tr>
        <w:trPr>
          <w:cantSplit/>
        </w:trPr>
        <w:tc>
          <w:tcPr>
            <w:tcW w:type="dxa" w:w="1944"/>
            <w:shd w:fill="F8FAFC"/>
            <w:tcMar>
              <w:top w:w="70" w:type="dxa"/>
              <w:start w:w="90" w:type="dxa"/>
              <w:bottom w:w="70" w:type="dxa"/>
              <w:end w:w="90" w:type="dxa"/>
            </w:tcMar>
          </w:tcPr>
          <w:p>
            <w:pPr>
              <w:spacing w:after="0"/>
            </w:pPr>
            <w:r>
              <w:rPr>
                <w:color w:val="1F2937"/>
                <w:sz w:val="16"/>
              </w:rPr>
              <w:t>Redis</w:t>
            </w:r>
          </w:p>
        </w:tc>
        <w:tc>
          <w:tcPr>
            <w:tcW w:type="dxa" w:w="3168"/>
            <w:shd w:fill="F8FAFC"/>
            <w:tcMar>
              <w:top w:w="70" w:type="dxa"/>
              <w:start w:w="90" w:type="dxa"/>
              <w:bottom w:w="70" w:type="dxa"/>
              <w:end w:w="90" w:type="dxa"/>
            </w:tcMar>
          </w:tcPr>
          <w:p>
            <w:pPr>
              <w:spacing w:after="0"/>
            </w:pPr>
            <w:r>
              <w:rPr>
                <w:color w:val="1F2937"/>
                <w:sz w:val="16"/>
              </w:rPr>
              <w:t>Queues, caching, and realtime support</w:t>
            </w:r>
          </w:p>
        </w:tc>
        <w:tc>
          <w:tcPr>
            <w:tcW w:type="dxa" w:w="4536"/>
            <w:shd w:fill="F8FAFC"/>
            <w:tcMar>
              <w:top w:w="70" w:type="dxa"/>
              <w:start w:w="90" w:type="dxa"/>
              <w:bottom w:w="70" w:type="dxa"/>
              <w:end w:w="90" w:type="dxa"/>
            </w:tcMar>
          </w:tcPr>
          <w:p>
            <w:pPr>
              <w:spacing w:after="0"/>
            </w:pPr>
            <w:r>
              <w:rPr>
                <w:color w:val="1F2937"/>
                <w:sz w:val="16"/>
              </w:rPr>
              <w:t>Persistence and HA appropriate to workload.</w:t>
            </w:r>
          </w:p>
        </w:tc>
      </w:tr>
      <w:tr>
        <w:trPr>
          <w:cantSplit/>
        </w:trPr>
        <w:tc>
          <w:tcPr>
            <w:tcW w:type="dxa" w:w="1944"/>
            <w:tcMar>
              <w:top w:w="70" w:type="dxa"/>
              <w:start w:w="90" w:type="dxa"/>
              <w:bottom w:w="70" w:type="dxa"/>
              <w:end w:w="90" w:type="dxa"/>
            </w:tcMar>
          </w:tcPr>
          <w:p>
            <w:pPr>
              <w:spacing w:after="0"/>
            </w:pPr>
            <w:r>
              <w:rPr>
                <w:color w:val="1F2937"/>
                <w:sz w:val="16"/>
              </w:rPr>
              <w:t>Object storage</w:t>
            </w:r>
          </w:p>
        </w:tc>
        <w:tc>
          <w:tcPr>
            <w:tcW w:type="dxa" w:w="3168"/>
            <w:tcMar>
              <w:top w:w="70" w:type="dxa"/>
              <w:start w:w="90" w:type="dxa"/>
              <w:bottom w:w="70" w:type="dxa"/>
              <w:end w:w="90" w:type="dxa"/>
            </w:tcMar>
          </w:tcPr>
          <w:p>
            <w:pPr>
              <w:spacing w:after="0"/>
            </w:pPr>
            <w:r>
              <w:rPr>
                <w:color w:val="1F2937"/>
                <w:sz w:val="16"/>
              </w:rPr>
              <w:t>Attachments and active storage</w:t>
            </w:r>
          </w:p>
        </w:tc>
        <w:tc>
          <w:tcPr>
            <w:tcW w:type="dxa" w:w="4536"/>
            <w:tcMar>
              <w:top w:w="70" w:type="dxa"/>
              <w:start w:w="90" w:type="dxa"/>
              <w:bottom w:w="70" w:type="dxa"/>
              <w:end w:w="90" w:type="dxa"/>
            </w:tcMar>
          </w:tcPr>
          <w:p>
            <w:pPr>
              <w:spacing w:after="0"/>
            </w:pPr>
            <w:r>
              <w:rPr>
                <w:color w:val="1F2937"/>
                <w:sz w:val="16"/>
              </w:rPr>
              <w:t>Private buckets, lifecycle policies, encryption, malware controls.</w:t>
            </w:r>
          </w:p>
        </w:tc>
      </w:tr>
      <w:tr>
        <w:trPr>
          <w:cantSplit/>
        </w:trPr>
        <w:tc>
          <w:tcPr>
            <w:tcW w:type="dxa" w:w="1944"/>
            <w:shd w:fill="F8FAFC"/>
            <w:tcMar>
              <w:top w:w="70" w:type="dxa"/>
              <w:start w:w="90" w:type="dxa"/>
              <w:bottom w:w="70" w:type="dxa"/>
              <w:end w:w="90" w:type="dxa"/>
            </w:tcMar>
          </w:tcPr>
          <w:p>
            <w:pPr>
              <w:spacing w:after="0"/>
            </w:pPr>
            <w:r>
              <w:rPr>
                <w:color w:val="1F2937"/>
                <w:sz w:val="16"/>
              </w:rPr>
              <w:t>Support gateway</w:t>
            </w:r>
          </w:p>
        </w:tc>
        <w:tc>
          <w:tcPr>
            <w:tcW w:type="dxa" w:w="3168"/>
            <w:shd w:fill="F8FAFC"/>
            <w:tcMar>
              <w:top w:w="70" w:type="dxa"/>
              <w:start w:w="90" w:type="dxa"/>
              <w:bottom w:w="70" w:type="dxa"/>
              <w:end w:w="90" w:type="dxa"/>
            </w:tcMar>
          </w:tcPr>
          <w:p>
            <w:pPr>
              <w:spacing w:after="0"/>
            </w:pPr>
            <w:r>
              <w:rPr>
                <w:color w:val="1F2937"/>
                <w:sz w:val="16"/>
              </w:rPr>
              <w:t>Proprietary security and compatibility boundary</w:t>
            </w:r>
          </w:p>
        </w:tc>
        <w:tc>
          <w:tcPr>
            <w:tcW w:type="dxa" w:w="4536"/>
            <w:shd w:fill="F8FAFC"/>
            <w:tcMar>
              <w:top w:w="70" w:type="dxa"/>
              <w:start w:w="90" w:type="dxa"/>
              <w:bottom w:w="70" w:type="dxa"/>
              <w:end w:w="90" w:type="dxa"/>
            </w:tcMar>
          </w:tcPr>
          <w:p>
            <w:pPr>
              <w:spacing w:after="0"/>
            </w:pPr>
            <w:r>
              <w:rPr>
                <w:color w:val="1F2937"/>
                <w:sz w:val="16"/>
              </w:rPr>
              <w:t>Autoscaling, rate limits, circuit breakers, trace correlation.</w:t>
            </w:r>
          </w:p>
        </w:tc>
      </w:tr>
      <w:tr>
        <w:trPr>
          <w:cantSplit/>
        </w:trPr>
        <w:tc>
          <w:tcPr>
            <w:tcW w:type="dxa" w:w="1944"/>
            <w:tcMar>
              <w:top w:w="70" w:type="dxa"/>
              <w:start w:w="90" w:type="dxa"/>
              <w:bottom w:w="70" w:type="dxa"/>
              <w:end w:w="90" w:type="dxa"/>
            </w:tcMar>
          </w:tcPr>
          <w:p>
            <w:pPr>
              <w:spacing w:after="0"/>
            </w:pPr>
            <w:r>
              <w:rPr>
                <w:color w:val="1F2937"/>
                <w:sz w:val="16"/>
              </w:rPr>
              <w:t>Event queue</w:t>
            </w:r>
          </w:p>
        </w:tc>
        <w:tc>
          <w:tcPr>
            <w:tcW w:type="dxa" w:w="3168"/>
            <w:tcMar>
              <w:top w:w="70" w:type="dxa"/>
              <w:start w:w="90" w:type="dxa"/>
              <w:bottom w:w="70" w:type="dxa"/>
              <w:end w:w="90" w:type="dxa"/>
            </w:tcMar>
          </w:tcPr>
          <w:p>
            <w:pPr>
              <w:spacing w:after="0"/>
            </w:pPr>
            <w:r>
              <w:rPr>
                <w:color w:val="1F2937"/>
                <w:sz w:val="16"/>
              </w:rPr>
              <w:t>Webhook and reconciliation work</w:t>
            </w:r>
          </w:p>
        </w:tc>
        <w:tc>
          <w:tcPr>
            <w:tcW w:type="dxa" w:w="4536"/>
            <w:tcMar>
              <w:top w:w="70" w:type="dxa"/>
              <w:start w:w="90" w:type="dxa"/>
              <w:bottom w:w="70" w:type="dxa"/>
              <w:end w:w="90" w:type="dxa"/>
            </w:tcMar>
          </w:tcPr>
          <w:p>
            <w:pPr>
              <w:spacing w:after="0"/>
            </w:pPr>
            <w:r>
              <w:rPr>
                <w:color w:val="1F2937"/>
                <w:sz w:val="16"/>
              </w:rPr>
              <w:t>At-least-once handling with idempotent consumers.</w:t>
            </w:r>
          </w:p>
        </w:tc>
      </w:tr>
    </w:tbl>
    <w:p>
      <w:pPr>
        <w:pStyle w:val="Heading2"/>
        <w:keepNext/>
        <w:keepLines/>
        <w:widowControl/>
      </w:pPr>
      <w:r>
        <w:t>12.3 Upgrade procedure</w:t>
      </w:r>
    </w:p>
    <w:p>
      <w:pPr>
        <w:spacing w:after="40"/>
        <w:ind w:left="0" w:firstLine="0"/>
        <w:widowControl/>
      </w:pPr>
      <w:r>
        <w:t xml:space="preserve">1.  </w:t>
      </w:r>
      <w:r>
        <w:t>Review Chatwoot release notes and security advisories.</w:t>
      </w:r>
    </w:p>
    <w:p>
      <w:pPr>
        <w:spacing w:after="40"/>
        <w:ind w:left="0" w:firstLine="0"/>
        <w:widowControl/>
      </w:pPr>
      <w:r>
        <w:t xml:space="preserve">2.  </w:t>
      </w:r>
      <w:r>
        <w:t>Build or pull the proposed version-specific CE image in staging.</w:t>
      </w:r>
    </w:p>
    <w:p>
      <w:pPr>
        <w:spacing w:after="40"/>
        <w:ind w:left="0" w:firstLine="0"/>
        <w:widowControl/>
      </w:pPr>
      <w:r>
        <w:t xml:space="preserve">3.  </w:t>
      </w:r>
      <w:r>
        <w:t>Restore a recent sanitized production snapshot or representative test dataset.</w:t>
      </w:r>
    </w:p>
    <w:p>
      <w:pPr>
        <w:spacing w:after="40"/>
        <w:ind w:left="0" w:firstLine="0"/>
        <w:widowControl/>
      </w:pPr>
      <w:r>
        <w:t xml:space="preserve">4.  </w:t>
      </w:r>
      <w:r>
        <w:t>Run rails db:chatwoot_prepare as documented for first-time setup and upgrades. [6]</w:t>
      </w:r>
    </w:p>
    <w:p>
      <w:pPr>
        <w:spacing w:after="40"/>
        <w:ind w:left="0" w:firstLine="0"/>
        <w:widowControl/>
      </w:pPr>
      <w:r>
        <w:t xml:space="preserve">5.  </w:t>
      </w:r>
      <w:r>
        <w:t>Execute API contract, webhook, email threading, attachment, and tenant-isolation tests.</w:t>
      </w:r>
    </w:p>
    <w:p>
      <w:pPr>
        <w:spacing w:after="40"/>
        <w:ind w:left="0" w:firstLine="0"/>
        <w:widowControl/>
      </w:pPr>
      <w:r>
        <w:t xml:space="preserve">6.  </w:t>
      </w:r>
      <w:r>
        <w:t>Run smoke tests through the proprietary UI.</w:t>
      </w:r>
    </w:p>
    <w:p>
      <w:pPr>
        <w:spacing w:after="40"/>
        <w:ind w:left="0" w:firstLine="0"/>
        <w:widowControl/>
      </w:pPr>
      <w:r>
        <w:t xml:space="preserve">7.  </w:t>
      </w:r>
      <w:r>
        <w:t>Take production backups and verify rollback prerequisites.</w:t>
      </w:r>
    </w:p>
    <w:p>
      <w:pPr>
        <w:spacing w:after="40"/>
        <w:ind w:left="0" w:firstLine="0"/>
        <w:widowControl/>
      </w:pPr>
      <w:r>
        <w:t xml:space="preserve">8.  </w:t>
      </w:r>
      <w:r>
        <w:t>Deploy web and workers using a controlled rollout.</w:t>
      </w:r>
    </w:p>
    <w:p>
      <w:pPr>
        <w:spacing w:after="40"/>
        <w:ind w:left="0" w:firstLine="0"/>
        <w:widowControl/>
      </w:pPr>
      <w:r>
        <w:t xml:space="preserve">9.  </w:t>
      </w:r>
      <w:r>
        <w:t>Run post-deployment reconciliation and monitor queues, error rates, and delivery latency.</w:t>
      </w:r>
    </w:p>
    <w:p>
      <w:pPr>
        <w:pStyle w:val="Heading2"/>
        <w:keepNext/>
        <w:keepLines/>
        <w:widowControl/>
      </w:pPr>
      <w:r>
        <w:t>12.4 Observability</w:t>
      </w:r>
    </w:p>
    <w:p>
      <w:pPr>
        <w:pStyle w:val="ListBullet"/>
        <w:spacing w:after="40"/>
        <w:widowControl/>
      </w:pPr>
      <w:r>
        <w:t>Use a correlation ID that follows requests from Next.js to the gateway and into Chatwoot calls.</w:t>
      </w:r>
    </w:p>
    <w:p>
      <w:pPr>
        <w:pStyle w:val="ListBullet"/>
        <w:spacing w:after="40"/>
        <w:widowControl/>
      </w:pPr>
      <w:r>
        <w:t>Measure API latency, error rate, rate limiting, queue depth, worker failures, webhook lag, reconciliation drift, and email delivery failures.</w:t>
      </w:r>
    </w:p>
    <w:p>
      <w:pPr>
        <w:pStyle w:val="ListBullet"/>
        <w:spacing w:after="40"/>
        <w:widowControl/>
      </w:pPr>
      <w:r>
        <w:t>Redact tokens, message bodies, email addresses, and attachment contents from telemetry unless explicitly required and protected.</w:t>
      </w:r>
    </w:p>
    <w:p>
      <w:pPr>
        <w:pStyle w:val="ListBullet"/>
        <w:spacing w:after="40"/>
        <w:widowControl/>
      </w:pPr>
      <w:r>
        <w:t>Alert on repeated cross-tenant authorization failures and provider account mismatches.</w:t>
      </w:r>
    </w:p>
    <w:p>
      <w:pPr>
        <w:pStyle w:val="Heading1"/>
        <w:keepNext/>
        <w:keepLines/>
        <w:widowControl/>
      </w:pPr>
      <w:r>
        <w:t>13. Fork and Upstream Maintenance Strategy</w:t>
      </w:r>
    </w:p>
    <w:p>
      <w:pPr>
        <w:pStyle w:val="Heading2"/>
        <w:keepNext/>
        <w:keepLines/>
        <w:widowControl/>
      </w:pPr>
      <w:r>
        <w:t>13.1 Default: no fork</w:t>
      </w:r>
    </w:p>
    <w:p>
      <w:pPr>
        <w:widowControl/>
      </w:pPr>
      <w:r>
        <w:t>Begin with the official CE image and place all product-specific behavior in the support gateway. This avoids upstream merge work and ensures the proprietary application is not coupled to Chatwoot’s Rails controllers, models, Vue components, or migrations.</w:t>
      </w:r>
    </w:p>
    <w:p>
      <w:pPr>
        <w:pStyle w:val="Heading2"/>
        <w:keepNext/>
        <w:keepLines/>
        <w:widowControl/>
      </w:pPr>
      <w:r>
        <w:t>13.2 When a patch is justified</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824"/>
            <w:shd w:fill="17365D"/>
            <w:tcMar>
              <w:top w:w="75" w:type="dxa"/>
              <w:start w:w="90" w:type="dxa"/>
              <w:bottom w:w="75" w:type="dxa"/>
              <w:end w:w="90" w:type="dxa"/>
            </w:tcMar>
          </w:tcPr>
          <w:p>
            <w:pPr>
              <w:jc w:val="left"/>
            </w:pPr>
            <w:r>
              <w:rPr>
                <w:b/>
                <w:color w:val="FFFFFF"/>
                <w:sz w:val="16"/>
              </w:rPr>
              <w:t>Good patch candidates</w:t>
            </w:r>
          </w:p>
        </w:tc>
        <w:tc>
          <w:tcPr>
            <w:tcW w:type="dxa" w:w="4824"/>
            <w:shd w:fill="17365D"/>
            <w:tcMar>
              <w:top w:w="75" w:type="dxa"/>
              <w:start w:w="90" w:type="dxa"/>
              <w:bottom w:w="75" w:type="dxa"/>
              <w:end w:w="90" w:type="dxa"/>
            </w:tcMar>
          </w:tcPr>
          <w:p>
            <w:pPr>
              <w:jc w:val="left"/>
            </w:pPr>
            <w:r>
              <w:rPr>
                <w:b/>
                <w:color w:val="FFFFFF"/>
                <w:sz w:val="16"/>
              </w:rPr>
              <w:t>Poor patch candidates</w:t>
            </w:r>
          </w:p>
        </w:tc>
      </w:tr>
      <w:tr>
        <w:trPr>
          <w:cantSplit/>
        </w:trPr>
        <w:tc>
          <w:tcPr>
            <w:tcW w:type="dxa" w:w="4824"/>
            <w:tcMar>
              <w:top w:w="70" w:type="dxa"/>
              <w:start w:w="90" w:type="dxa"/>
              <w:bottom w:w="70" w:type="dxa"/>
              <w:end w:w="90" w:type="dxa"/>
            </w:tcMar>
          </w:tcPr>
          <w:p>
            <w:pPr>
              <w:spacing w:after="0"/>
            </w:pPr>
            <w:r>
              <w:rPr>
                <w:color w:val="1F2937"/>
                <w:sz w:val="16"/>
              </w:rPr>
              <w:t>Expose one missing API field required by the gateway.</w:t>
            </w:r>
          </w:p>
        </w:tc>
        <w:tc>
          <w:tcPr>
            <w:tcW w:type="dxa" w:w="4824"/>
            <w:tcMar>
              <w:top w:w="70" w:type="dxa"/>
              <w:start w:w="90" w:type="dxa"/>
              <w:bottom w:w="70" w:type="dxa"/>
              <w:end w:w="90" w:type="dxa"/>
            </w:tcMar>
          </w:tcPr>
          <w:p>
            <w:pPr>
              <w:spacing w:after="0"/>
            </w:pPr>
            <w:r>
              <w:rPr>
                <w:color w:val="1F2937"/>
                <w:sz w:val="16"/>
              </w:rPr>
              <w:t>Replace or redesign the Chatwoot dashboard.</w:t>
            </w:r>
          </w:p>
        </w:tc>
      </w:tr>
      <w:tr>
        <w:trPr>
          <w:cantSplit/>
        </w:trPr>
        <w:tc>
          <w:tcPr>
            <w:tcW w:type="dxa" w:w="4824"/>
            <w:shd w:fill="F8FAFC"/>
            <w:tcMar>
              <w:top w:w="70" w:type="dxa"/>
              <w:start w:w="90" w:type="dxa"/>
              <w:bottom w:w="70" w:type="dxa"/>
              <w:end w:w="90" w:type="dxa"/>
            </w:tcMar>
          </w:tcPr>
          <w:p>
            <w:pPr>
              <w:spacing w:after="0"/>
            </w:pPr>
            <w:r>
              <w:rPr>
                <w:color w:val="1F2937"/>
                <w:sz w:val="16"/>
              </w:rPr>
              <w:t>Add a narrowly scoped API endpoint.</w:t>
            </w:r>
          </w:p>
        </w:tc>
        <w:tc>
          <w:tcPr>
            <w:tcW w:type="dxa" w:w="4824"/>
            <w:shd w:fill="F8FAFC"/>
            <w:tcMar>
              <w:top w:w="70" w:type="dxa"/>
              <w:start w:w="90" w:type="dxa"/>
              <w:bottom w:w="70" w:type="dxa"/>
              <w:end w:w="90" w:type="dxa"/>
            </w:tcMar>
          </w:tcPr>
          <w:p>
            <w:pPr>
              <w:spacing w:after="0"/>
            </w:pPr>
            <w:r>
              <w:rPr>
                <w:color w:val="1F2937"/>
                <w:sz w:val="16"/>
              </w:rPr>
              <w:t>Insert product-specific ticket workflow into Chatwoot models.</w:t>
            </w:r>
          </w:p>
        </w:tc>
      </w:tr>
      <w:tr>
        <w:trPr>
          <w:cantSplit/>
        </w:trPr>
        <w:tc>
          <w:tcPr>
            <w:tcW w:type="dxa" w:w="4824"/>
            <w:tcMar>
              <w:top w:w="70" w:type="dxa"/>
              <w:start w:w="90" w:type="dxa"/>
              <w:bottom w:w="70" w:type="dxa"/>
              <w:end w:w="90" w:type="dxa"/>
            </w:tcMar>
          </w:tcPr>
          <w:p>
            <w:pPr>
              <w:spacing w:after="0"/>
            </w:pPr>
            <w:r>
              <w:rPr>
                <w:color w:val="1F2937"/>
                <w:sz w:val="16"/>
              </w:rPr>
              <w:t>Add or correct a webhook event.</w:t>
            </w:r>
          </w:p>
        </w:tc>
        <w:tc>
          <w:tcPr>
            <w:tcW w:type="dxa" w:w="4824"/>
            <w:tcMar>
              <w:top w:w="70" w:type="dxa"/>
              <w:start w:w="90" w:type="dxa"/>
              <w:bottom w:w="70" w:type="dxa"/>
              <w:end w:w="90" w:type="dxa"/>
            </w:tcMar>
          </w:tcPr>
          <w:p>
            <w:pPr>
              <w:spacing w:after="0"/>
            </w:pPr>
            <w:r>
              <w:rPr>
                <w:color w:val="1F2937"/>
                <w:sz w:val="16"/>
              </w:rPr>
              <w:t>Replace Chatwoot authentication with the product’s authentication system.</w:t>
            </w:r>
          </w:p>
        </w:tc>
      </w:tr>
      <w:tr>
        <w:trPr>
          <w:cantSplit/>
        </w:trPr>
        <w:tc>
          <w:tcPr>
            <w:tcW w:type="dxa" w:w="4824"/>
            <w:shd w:fill="F8FAFC"/>
            <w:tcMar>
              <w:top w:w="70" w:type="dxa"/>
              <w:start w:w="90" w:type="dxa"/>
              <w:bottom w:w="70" w:type="dxa"/>
              <w:end w:w="90" w:type="dxa"/>
            </w:tcMar>
          </w:tcPr>
          <w:p>
            <w:pPr>
              <w:spacing w:after="0"/>
            </w:pPr>
            <w:r>
              <w:rPr>
                <w:color w:val="1F2937"/>
                <w:sz w:val="16"/>
              </w:rPr>
              <w:t>Fix a security, tenancy, or delivery defect.</w:t>
            </w:r>
          </w:p>
        </w:tc>
        <w:tc>
          <w:tcPr>
            <w:tcW w:type="dxa" w:w="4824"/>
            <w:shd w:fill="F8FAFC"/>
            <w:tcMar>
              <w:top w:w="70" w:type="dxa"/>
              <w:start w:w="90" w:type="dxa"/>
              <w:bottom w:w="70" w:type="dxa"/>
              <w:end w:w="90" w:type="dxa"/>
            </w:tcMar>
          </w:tcPr>
          <w:p>
            <w:pPr>
              <w:spacing w:after="0"/>
            </w:pPr>
            <w:r>
              <w:rPr>
                <w:color w:val="1F2937"/>
                <w:sz w:val="16"/>
              </w:rPr>
              <w:t>Create broad schema changes shared with product-domain tables.</w:t>
            </w:r>
          </w:p>
        </w:tc>
      </w:tr>
      <w:tr>
        <w:trPr>
          <w:cantSplit/>
        </w:trPr>
        <w:tc>
          <w:tcPr>
            <w:tcW w:type="dxa" w:w="4824"/>
            <w:tcMar>
              <w:top w:w="70" w:type="dxa"/>
              <w:start w:w="90" w:type="dxa"/>
              <w:bottom w:w="70" w:type="dxa"/>
              <w:end w:w="90" w:type="dxa"/>
            </w:tcMar>
          </w:tcPr>
          <w:p>
            <w:pPr>
              <w:spacing w:after="0"/>
            </w:pPr>
            <w:r>
              <w:rPr>
                <w:color w:val="1F2937"/>
                <w:sz w:val="16"/>
              </w:rPr>
              <w:t>Correct a provider integration behavior.</w:t>
            </w:r>
          </w:p>
        </w:tc>
        <w:tc>
          <w:tcPr>
            <w:tcW w:type="dxa" w:w="4824"/>
            <w:tcMar>
              <w:top w:w="70" w:type="dxa"/>
              <w:start w:w="90" w:type="dxa"/>
              <w:bottom w:w="70" w:type="dxa"/>
              <w:end w:w="90" w:type="dxa"/>
            </w:tcMar>
          </w:tcPr>
          <w:p>
            <w:pPr>
              <w:spacing w:after="0"/>
            </w:pPr>
            <w:r>
              <w:rPr>
                <w:color w:val="1F2937"/>
                <w:sz w:val="16"/>
              </w:rPr>
              <w:t>Scatter tenant-specific conditional logic across Rails code.</w:t>
            </w:r>
          </w:p>
        </w:tc>
      </w:tr>
    </w:tbl>
    <w:p>
      <w:pPr>
        <w:pStyle w:val="Heading2"/>
        <w:keepNext/>
        <w:keepLines/>
        <w:widowControl/>
      </w:pPr>
      <w:r>
        <w:t>13.3 Patch overlay repository</w:t>
      </w:r>
    </w:p>
    <w:tbl>
      <w:tblPr>
        <w:tblW w:type="auto" w:w="0"/>
        <w:jc w:val="center"/>
        <w:tblLayout w:type="autofit"/>
        <w:tblLook w:firstColumn="1" w:firstRow="1" w:lastColumn="0" w:lastRow="0" w:noHBand="0" w:noVBand="1" w:val="04A0"/>
      </w:tblPr>
      <w:tblGrid>
        <w:gridCol w:w="10080"/>
      </w:tblGrid>
      <w:tr>
        <w:tc>
          <w:tcPr>
            <w:tcW w:type="dxa" w:w="10080"/>
            <w:shd w:fill="F7F8FA"/>
            <w:tcBorders>
              <w:top w:val="single" w:sz="4" w:color="D0D7DE"/>
              <w:left w:val="single" w:sz="4" w:color="D0D7DE"/>
              <w:bottom w:val="single" w:sz="4" w:color="D0D7DE"/>
              <w:right w:val="single" w:sz="4" w:color="D0D7DE"/>
            </w:tcBorders>
            <w:tcMar>
              <w:top w:w="100" w:type="dxa"/>
              <w:start w:w="140" w:type="dxa"/>
              <w:bottom w:w="100" w:type="dxa"/>
              <w:end w:w="140" w:type="dxa"/>
            </w:tcMar>
          </w:tcPr>
          <w:p>
            <w:pPr>
              <w:spacing w:after="0"/>
            </w:pPr>
            <w:r>
              <w:rPr>
                <w:rFonts w:ascii="Liberation Mono" w:hAnsi="Liberation Mono" w:eastAsia="Liberation Mono"/>
                <w:color w:val="1F2937"/>
                <w:sz w:val="17"/>
              </w:rPr>
              <w:t>chatwoot-overlay/</w:t>
              <w:br/>
              <w:t xml:space="preserve">  upstream-version.txt</w:t>
              <w:br/>
              <w:t xml:space="preserve">  Dockerfile</w:t>
              <w:br/>
              <w:t xml:space="preserve">  patches/</w:t>
              <w:br/>
              <w:t xml:space="preserve">    0001-add-required-api-field.patch</w:t>
              <w:br/>
              <w:t xml:space="preserve">    0002-correct-webhook-behavior.patch</w:t>
              <w:br/>
              <w:t xml:space="preserve">  contract-tests/</w:t>
              <w:br/>
              <w:t xml:space="preserve">  third-party-notices/</w:t>
              <w:br/>
              <w:t xml:space="preserve">  sbom/</w:t>
            </w:r>
          </w:p>
        </w:tc>
      </w:tr>
    </w:tbl>
    <w:p>
      <w:pPr>
        <w:pStyle w:val="Heading2"/>
        <w:keepNext/>
        <w:keepLines/>
        <w:widowControl/>
      </w:pPr>
      <w:r>
        <w:t>13.4 Overlay build process</w:t>
      </w:r>
    </w:p>
    <w:p>
      <w:pPr>
        <w:spacing w:after="40"/>
        <w:ind w:left="0" w:firstLine="0"/>
        <w:widowControl/>
      </w:pPr>
      <w:r>
        <w:t xml:space="preserve">1.  </w:t>
      </w:r>
      <w:r>
        <w:t>Check out an exact upstream Chatwoot release tag.</w:t>
      </w:r>
    </w:p>
    <w:p>
      <w:pPr>
        <w:spacing w:after="40"/>
        <w:ind w:left="0" w:firstLine="0"/>
        <w:widowControl/>
      </w:pPr>
      <w:r>
        <w:t xml:space="preserve">2.  </w:t>
      </w:r>
      <w:r>
        <w:t>Confirm that enterprise/ is not present in the CE artifact or remove it before the build.</w:t>
      </w:r>
    </w:p>
    <w:p>
      <w:pPr>
        <w:spacing w:after="40"/>
        <w:ind w:left="0" w:firstLine="0"/>
        <w:widowControl/>
      </w:pPr>
      <w:r>
        <w:t xml:space="preserve">3.  </w:t>
      </w:r>
      <w:r>
        <w:t>Apply numbered, documented patches in order.</w:t>
      </w:r>
    </w:p>
    <w:p>
      <w:pPr>
        <w:spacing w:after="40"/>
        <w:ind w:left="0" w:firstLine="0"/>
        <w:widowControl/>
      </w:pPr>
      <w:r>
        <w:t xml:space="preserve">4.  </w:t>
      </w:r>
      <w:r>
        <w:t>Build a private CE-derived image and generate an SBOM.</w:t>
      </w:r>
    </w:p>
    <w:p>
      <w:pPr>
        <w:spacing w:after="40"/>
        <w:ind w:left="0" w:firstLine="0"/>
        <w:widowControl/>
      </w:pPr>
      <w:r>
        <w:t xml:space="preserve">5.  </w:t>
      </w:r>
      <w:r>
        <w:t>Run license, vulnerability, unit, integration, and contract tests.</w:t>
      </w:r>
    </w:p>
    <w:p>
      <w:pPr>
        <w:spacing w:after="40"/>
        <w:ind w:left="0" w:firstLine="0"/>
        <w:widowControl/>
      </w:pPr>
      <w:r>
        <w:t xml:space="preserve">6.  </w:t>
      </w:r>
      <w:r>
        <w:t>Publish the image to the private registry with the upstream version and patch-set version in the tag.</w:t>
      </w:r>
    </w:p>
    <w:p>
      <w:pPr>
        <w:spacing w:after="40"/>
        <w:ind w:left="0" w:firstLine="0"/>
        <w:widowControl/>
      </w:pPr>
      <w:r>
        <w:t xml:space="preserve">7.  </w:t>
      </w:r>
      <w:r>
        <w:t>Contribute generic fixes upstream when practical to reduce long-term divergence.</w:t>
      </w:r>
    </w:p>
    <w:p>
      <w:pPr>
        <w:pStyle w:val="Heading1"/>
        <w:keepNext/>
        <w:keepLines/>
        <w:widowControl/>
      </w:pPr>
      <w:r>
        <w:t>14. Enterprise Directory Feature Inventory</w:t>
      </w:r>
    </w:p>
    <w:p>
      <w:pPr>
        <w:widowControl/>
      </w:pPr>
      <w:r>
        <w:t>The enterprise/ directory contains proprietary features and extensions. The premium feature configuration explicitly identifies several gated capabilities, while the broader tree contains supporting implementations and additional paid-plan functionality. Code presence does not always mean that Chatwoot markets it as a separately named feature. [2][7][8]</w:t>
      </w:r>
    </w:p>
    <w:p>
      <w:pPr>
        <w:pStyle w:val="Heading2"/>
        <w:keepNext/>
        <w:keepLines/>
        <w:widowControl/>
      </w:pPr>
      <w:r>
        <w:t>14.1 Explicit premium feature flags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65D"/>
            <w:tcMar>
              <w:top w:w="75" w:type="dxa"/>
              <w:start w:w="90" w:type="dxa"/>
              <w:bottom w:w="75" w:type="dxa"/>
              <w:end w:w="90" w:type="dxa"/>
            </w:tcMar>
          </w:tcPr>
          <w:p>
            <w:pPr>
              <w:jc w:val="left"/>
            </w:pPr>
            <w:r>
              <w:rPr>
                <w:b/>
                <w:color w:val="FFFFFF"/>
                <w:sz w:val="15"/>
              </w:rPr>
              <w:t>Feature</w:t>
            </w:r>
          </w:p>
        </w:tc>
        <w:tc>
          <w:tcPr>
            <w:tcW w:type="dxa" w:w="3384"/>
            <w:shd w:fill="17365D"/>
            <w:tcMar>
              <w:top w:w="75" w:type="dxa"/>
              <w:start w:w="90" w:type="dxa"/>
              <w:bottom w:w="75" w:type="dxa"/>
              <w:end w:w="90" w:type="dxa"/>
            </w:tcMar>
          </w:tcPr>
          <w:p>
            <w:pPr>
              <w:jc w:val="left"/>
            </w:pPr>
            <w:r>
              <w:rPr>
                <w:b/>
                <w:color w:val="FFFFFF"/>
                <w:sz w:val="15"/>
              </w:rPr>
              <w:t>What it provides</w:t>
            </w:r>
          </w:p>
        </w:tc>
        <w:tc>
          <w:tcPr>
            <w:tcW w:type="dxa" w:w="4032"/>
            <w:shd w:fill="17365D"/>
            <w:tcMar>
              <w:top w:w="75" w:type="dxa"/>
              <w:start w:w="90" w:type="dxa"/>
              <w:bottom w:w="75" w:type="dxa"/>
              <w:end w:w="90" w:type="dxa"/>
            </w:tcMar>
          </w:tcPr>
          <w:p>
            <w:pPr>
              <w:jc w:val="left"/>
            </w:pPr>
            <w:r>
              <w:rPr>
                <w:b/>
                <w:color w:val="FFFFFF"/>
                <w:sz w:val="15"/>
              </w:rPr>
              <w:t>Recommended treatment in proprietary application</w:t>
            </w:r>
          </w:p>
        </w:tc>
      </w:tr>
      <w:tr>
        <w:trPr>
          <w:cantSplit/>
        </w:trPr>
        <w:tc>
          <w:tcPr>
            <w:tcW w:type="dxa" w:w="2232"/>
            <w:tcMar>
              <w:top w:w="70" w:type="dxa"/>
              <w:start w:w="90" w:type="dxa"/>
              <w:bottom w:w="70" w:type="dxa"/>
              <w:end w:w="90" w:type="dxa"/>
            </w:tcMar>
          </w:tcPr>
          <w:p>
            <w:pPr>
              <w:spacing w:after="0"/>
            </w:pPr>
            <w:r>
              <w:rPr>
                <w:color w:val="1F2937"/>
                <w:sz w:val="15"/>
              </w:rPr>
              <w:t>Disable branding / white-labeling</w:t>
            </w:r>
          </w:p>
        </w:tc>
        <w:tc>
          <w:tcPr>
            <w:tcW w:type="dxa" w:w="3384"/>
            <w:tcMar>
              <w:top w:w="70" w:type="dxa"/>
              <w:start w:w="90" w:type="dxa"/>
              <w:bottom w:w="70" w:type="dxa"/>
              <w:end w:w="90" w:type="dxa"/>
            </w:tcMar>
          </w:tcPr>
          <w:p>
            <w:pPr>
              <w:spacing w:after="0"/>
            </w:pPr>
            <w:r>
              <w:rPr>
                <w:color w:val="1F2937"/>
                <w:sz w:val="15"/>
              </w:rPr>
              <w:t>Removes Chatwoot branding and permits premium installation branding controls.</w:t>
            </w:r>
          </w:p>
        </w:tc>
        <w:tc>
          <w:tcPr>
            <w:tcW w:type="dxa" w:w="4032"/>
            <w:tcMar>
              <w:top w:w="70" w:type="dxa"/>
              <w:start w:w="90" w:type="dxa"/>
              <w:bottom w:w="70" w:type="dxa"/>
              <w:end w:w="90" w:type="dxa"/>
            </w:tcMar>
          </w:tcPr>
          <w:p>
            <w:pPr>
              <w:spacing w:after="0"/>
            </w:pPr>
            <w:r>
              <w:rPr>
                <w:color w:val="1F2937"/>
                <w:sz w:val="15"/>
              </w:rPr>
              <w:t>Do not expose Chatwoot UI to customers. Brand only the proprietary UI; retain internal Chatwoot administration.</w:t>
            </w:r>
          </w:p>
        </w:tc>
      </w:tr>
      <w:tr>
        <w:trPr>
          <w:cantSplit/>
        </w:trPr>
        <w:tc>
          <w:tcPr>
            <w:tcW w:type="dxa" w:w="2232"/>
            <w:shd w:fill="F8FAFC"/>
            <w:tcMar>
              <w:top w:w="70" w:type="dxa"/>
              <w:start w:w="90" w:type="dxa"/>
              <w:bottom w:w="70" w:type="dxa"/>
              <w:end w:w="90" w:type="dxa"/>
            </w:tcMar>
          </w:tcPr>
          <w:p>
            <w:pPr>
              <w:spacing w:after="0"/>
            </w:pPr>
            <w:r>
              <w:rPr>
                <w:color w:val="1F2937"/>
                <w:sz w:val="15"/>
              </w:rPr>
              <w:t>Audit logs</w:t>
            </w:r>
          </w:p>
        </w:tc>
        <w:tc>
          <w:tcPr>
            <w:tcW w:type="dxa" w:w="3384"/>
            <w:shd w:fill="F8FAFC"/>
            <w:tcMar>
              <w:top w:w="70" w:type="dxa"/>
              <w:start w:w="90" w:type="dxa"/>
              <w:bottom w:w="70" w:type="dxa"/>
              <w:end w:w="90" w:type="dxa"/>
            </w:tcMar>
          </w:tcPr>
          <w:p>
            <w:pPr>
              <w:spacing w:after="0"/>
            </w:pPr>
            <w:r>
              <w:rPr>
                <w:color w:val="1F2937"/>
                <w:sz w:val="15"/>
              </w:rPr>
              <w:t>Administrative and security audit history.</w:t>
            </w:r>
          </w:p>
        </w:tc>
        <w:tc>
          <w:tcPr>
            <w:tcW w:type="dxa" w:w="4032"/>
            <w:shd w:fill="F8FAFC"/>
            <w:tcMar>
              <w:top w:w="70" w:type="dxa"/>
              <w:start w:w="90" w:type="dxa"/>
              <w:bottom w:w="70" w:type="dxa"/>
              <w:end w:w="90" w:type="dxa"/>
            </w:tcMar>
          </w:tcPr>
          <w:p>
            <w:pPr>
              <w:spacing w:after="0"/>
            </w:pPr>
            <w:r>
              <w:rPr>
                <w:color w:val="1F2937"/>
                <w:sz w:val="15"/>
              </w:rPr>
              <w:t>Implement canonical product audit events in the proprietary platform; optionally ingest provider events.</w:t>
            </w:r>
          </w:p>
        </w:tc>
      </w:tr>
      <w:tr>
        <w:trPr>
          <w:cantSplit/>
        </w:trPr>
        <w:tc>
          <w:tcPr>
            <w:tcW w:type="dxa" w:w="2232"/>
            <w:tcMar>
              <w:top w:w="70" w:type="dxa"/>
              <w:start w:w="90" w:type="dxa"/>
              <w:bottom w:w="70" w:type="dxa"/>
              <w:end w:w="90" w:type="dxa"/>
            </w:tcMar>
          </w:tcPr>
          <w:p>
            <w:pPr>
              <w:spacing w:after="0"/>
            </w:pPr>
            <w:r>
              <w:rPr>
                <w:color w:val="1F2937"/>
                <w:sz w:val="15"/>
              </w:rPr>
              <w:t>SLA</w:t>
            </w:r>
          </w:p>
        </w:tc>
        <w:tc>
          <w:tcPr>
            <w:tcW w:type="dxa" w:w="3384"/>
            <w:tcMar>
              <w:top w:w="70" w:type="dxa"/>
              <w:start w:w="90" w:type="dxa"/>
              <w:bottom w:w="70" w:type="dxa"/>
              <w:end w:w="90" w:type="dxa"/>
            </w:tcMar>
          </w:tcPr>
          <w:p>
            <w:pPr>
              <w:spacing w:after="0"/>
            </w:pPr>
            <w:r>
              <w:rPr>
                <w:color w:val="1F2937"/>
                <w:sz w:val="15"/>
              </w:rPr>
              <w:t>SLA policies, events, timers, and reporting.</w:t>
            </w:r>
          </w:p>
        </w:tc>
        <w:tc>
          <w:tcPr>
            <w:tcW w:type="dxa" w:w="4032"/>
            <w:tcMar>
              <w:top w:w="70" w:type="dxa"/>
              <w:start w:w="90" w:type="dxa"/>
              <w:bottom w:w="70" w:type="dxa"/>
              <w:end w:w="90" w:type="dxa"/>
            </w:tcMar>
          </w:tcPr>
          <w:p>
            <w:pPr>
              <w:spacing w:after="0"/>
            </w:pPr>
            <w:r>
              <w:rPr>
                <w:color w:val="1F2937"/>
                <w:sz w:val="15"/>
              </w:rPr>
              <w:t>Keep SLA policy and escalation logic in the proprietary workflow/service layer.</w:t>
            </w:r>
          </w:p>
        </w:tc>
      </w:tr>
      <w:tr>
        <w:trPr>
          <w:cantSplit/>
        </w:trPr>
        <w:tc>
          <w:tcPr>
            <w:tcW w:type="dxa" w:w="2232"/>
            <w:shd w:fill="F8FAFC"/>
            <w:tcMar>
              <w:top w:w="70" w:type="dxa"/>
              <w:start w:w="90" w:type="dxa"/>
              <w:bottom w:w="70" w:type="dxa"/>
              <w:end w:w="90" w:type="dxa"/>
            </w:tcMar>
          </w:tcPr>
          <w:p>
            <w:pPr>
              <w:spacing w:after="0"/>
            </w:pPr>
            <w:r>
              <w:rPr>
                <w:color w:val="1F2937"/>
                <w:sz w:val="15"/>
              </w:rPr>
              <w:t>Custom roles</w:t>
            </w:r>
          </w:p>
        </w:tc>
        <w:tc>
          <w:tcPr>
            <w:tcW w:type="dxa" w:w="3384"/>
            <w:shd w:fill="F8FAFC"/>
            <w:tcMar>
              <w:top w:w="70" w:type="dxa"/>
              <w:start w:w="90" w:type="dxa"/>
              <w:bottom w:w="70" w:type="dxa"/>
              <w:end w:w="90" w:type="dxa"/>
            </w:tcMar>
          </w:tcPr>
          <w:p>
            <w:pPr>
              <w:spacing w:after="0"/>
            </w:pPr>
            <w:r>
              <w:rPr>
                <w:color w:val="1F2937"/>
                <w:sz w:val="15"/>
              </w:rPr>
              <w:t>Granular Chatwoot roles and permissions.</w:t>
            </w:r>
          </w:p>
        </w:tc>
        <w:tc>
          <w:tcPr>
            <w:tcW w:type="dxa" w:w="4032"/>
            <w:shd w:fill="F8FAFC"/>
            <w:tcMar>
              <w:top w:w="70" w:type="dxa"/>
              <w:start w:w="90" w:type="dxa"/>
              <w:bottom w:w="70" w:type="dxa"/>
              <w:end w:w="90" w:type="dxa"/>
            </w:tcMar>
          </w:tcPr>
          <w:p>
            <w:pPr>
              <w:spacing w:after="0"/>
            </w:pPr>
            <w:r>
              <w:rPr>
                <w:color w:val="1F2937"/>
                <w:sz w:val="15"/>
              </w:rPr>
              <w:t>Enforce product RBAC in the gateway; map only the minimum required Chatwoot account role.</w:t>
            </w:r>
          </w:p>
        </w:tc>
      </w:tr>
      <w:tr>
        <w:trPr>
          <w:cantSplit/>
        </w:trPr>
        <w:tc>
          <w:tcPr>
            <w:tcW w:type="dxa" w:w="2232"/>
            <w:tcMar>
              <w:top w:w="70" w:type="dxa"/>
              <w:start w:w="90" w:type="dxa"/>
              <w:bottom w:w="70" w:type="dxa"/>
              <w:end w:w="90" w:type="dxa"/>
            </w:tcMar>
          </w:tcPr>
          <w:p>
            <w:pPr>
              <w:spacing w:after="0"/>
            </w:pPr>
            <w:r>
              <w:rPr>
                <w:color w:val="1F2937"/>
                <w:sz w:val="15"/>
              </w:rPr>
              <w:t>Captain integration / v2</w:t>
            </w:r>
          </w:p>
        </w:tc>
        <w:tc>
          <w:tcPr>
            <w:tcW w:type="dxa" w:w="3384"/>
            <w:tcMar>
              <w:top w:w="70" w:type="dxa"/>
              <w:start w:w="90" w:type="dxa"/>
              <w:bottom w:w="70" w:type="dxa"/>
              <w:end w:w="90" w:type="dxa"/>
            </w:tcMar>
          </w:tcPr>
          <w:p>
            <w:pPr>
              <w:spacing w:after="0"/>
            </w:pPr>
            <w:r>
              <w:rPr>
                <w:color w:val="1F2937"/>
                <w:sz w:val="15"/>
              </w:rPr>
              <w:t>Chatwoot AI agent and related orchestration.</w:t>
            </w:r>
          </w:p>
        </w:tc>
        <w:tc>
          <w:tcPr>
            <w:tcW w:type="dxa" w:w="4032"/>
            <w:tcMar>
              <w:top w:w="70" w:type="dxa"/>
              <w:start w:w="90" w:type="dxa"/>
              <w:bottom w:w="70" w:type="dxa"/>
              <w:end w:w="90" w:type="dxa"/>
            </w:tcMar>
          </w:tcPr>
          <w:p>
            <w:pPr>
              <w:spacing w:after="0"/>
            </w:pPr>
            <w:r>
              <w:rPr>
                <w:color w:val="1F2937"/>
                <w:sz w:val="15"/>
              </w:rPr>
              <w:t>Use the proprietary AI and agent platform unless an Enterprise license is intentionally purchased.</w:t>
            </w:r>
          </w:p>
        </w:tc>
      </w:tr>
      <w:tr>
        <w:trPr>
          <w:cantSplit/>
        </w:trPr>
        <w:tc>
          <w:tcPr>
            <w:tcW w:type="dxa" w:w="2232"/>
            <w:shd w:fill="F8FAFC"/>
            <w:tcMar>
              <w:top w:w="70" w:type="dxa"/>
              <w:start w:w="90" w:type="dxa"/>
              <w:bottom w:w="70" w:type="dxa"/>
              <w:end w:w="90" w:type="dxa"/>
            </w:tcMar>
          </w:tcPr>
          <w:p>
            <w:pPr>
              <w:spacing w:after="0"/>
            </w:pPr>
            <w:r>
              <w:rPr>
                <w:color w:val="1F2937"/>
                <w:sz w:val="15"/>
              </w:rPr>
              <w:t>Captain document auto-sync</w:t>
            </w:r>
          </w:p>
        </w:tc>
        <w:tc>
          <w:tcPr>
            <w:tcW w:type="dxa" w:w="3384"/>
            <w:shd w:fill="F8FAFC"/>
            <w:tcMar>
              <w:top w:w="70" w:type="dxa"/>
              <w:start w:w="90" w:type="dxa"/>
              <w:bottom w:w="70" w:type="dxa"/>
              <w:end w:w="90" w:type="dxa"/>
            </w:tcMar>
          </w:tcPr>
          <w:p>
            <w:pPr>
              <w:spacing w:after="0"/>
            </w:pPr>
            <w:r>
              <w:rPr>
                <w:color w:val="1F2937"/>
                <w:sz w:val="15"/>
              </w:rPr>
              <w:t>Automated AI knowledge-document synchronization.</w:t>
            </w:r>
          </w:p>
        </w:tc>
        <w:tc>
          <w:tcPr>
            <w:tcW w:type="dxa" w:w="4032"/>
            <w:shd w:fill="F8FAFC"/>
            <w:tcMar>
              <w:top w:w="70" w:type="dxa"/>
              <w:start w:w="90" w:type="dxa"/>
              <w:bottom w:w="70" w:type="dxa"/>
              <w:end w:w="90" w:type="dxa"/>
            </w:tcMar>
          </w:tcPr>
          <w:p>
            <w:pPr>
              <w:spacing w:after="0"/>
            </w:pPr>
            <w:r>
              <w:rPr>
                <w:color w:val="1F2937"/>
                <w:sz w:val="15"/>
              </w:rPr>
              <w:t>Implement product-native knowledge ingestion and synchronization.</w:t>
            </w:r>
          </w:p>
        </w:tc>
      </w:tr>
      <w:tr>
        <w:trPr>
          <w:cantSplit/>
        </w:trPr>
        <w:tc>
          <w:tcPr>
            <w:tcW w:type="dxa" w:w="2232"/>
            <w:tcMar>
              <w:top w:w="70" w:type="dxa"/>
              <w:start w:w="90" w:type="dxa"/>
              <w:bottom w:w="70" w:type="dxa"/>
              <w:end w:w="90" w:type="dxa"/>
            </w:tcMar>
          </w:tcPr>
          <w:p>
            <w:pPr>
              <w:spacing w:after="0"/>
            </w:pPr>
            <w:r>
              <w:rPr>
                <w:color w:val="1F2937"/>
                <w:sz w:val="15"/>
              </w:rPr>
              <w:t>CSAT review notes</w:t>
            </w:r>
          </w:p>
        </w:tc>
        <w:tc>
          <w:tcPr>
            <w:tcW w:type="dxa" w:w="3384"/>
            <w:tcMar>
              <w:top w:w="70" w:type="dxa"/>
              <w:start w:w="90" w:type="dxa"/>
              <w:bottom w:w="70" w:type="dxa"/>
              <w:end w:w="90" w:type="dxa"/>
            </w:tcMar>
          </w:tcPr>
          <w:p>
            <w:pPr>
              <w:spacing w:after="0"/>
            </w:pPr>
            <w:r>
              <w:rPr>
                <w:color w:val="1F2937"/>
                <w:sz w:val="15"/>
              </w:rPr>
              <w:t>Internal review notes attached to CSAT results.</w:t>
            </w:r>
          </w:p>
        </w:tc>
        <w:tc>
          <w:tcPr>
            <w:tcW w:type="dxa" w:w="4032"/>
            <w:tcMar>
              <w:top w:w="70" w:type="dxa"/>
              <w:start w:w="90" w:type="dxa"/>
              <w:bottom w:w="70" w:type="dxa"/>
              <w:end w:w="90" w:type="dxa"/>
            </w:tcMar>
          </w:tcPr>
          <w:p>
            <w:pPr>
              <w:spacing w:after="0"/>
            </w:pPr>
            <w:r>
              <w:rPr>
                <w:color w:val="1F2937"/>
                <w:sz w:val="15"/>
              </w:rPr>
              <w:t>Store product-level QA and review notes in the proprietary application.</w:t>
            </w:r>
          </w:p>
        </w:tc>
      </w:tr>
      <w:tr>
        <w:trPr>
          <w:cantSplit/>
        </w:trPr>
        <w:tc>
          <w:tcPr>
            <w:tcW w:type="dxa" w:w="2232"/>
            <w:shd w:fill="F8FAFC"/>
            <w:tcMar>
              <w:top w:w="70" w:type="dxa"/>
              <w:start w:w="90" w:type="dxa"/>
              <w:bottom w:w="70" w:type="dxa"/>
              <w:end w:w="90" w:type="dxa"/>
            </w:tcMar>
          </w:tcPr>
          <w:p>
            <w:pPr>
              <w:spacing w:after="0"/>
            </w:pPr>
            <w:r>
              <w:rPr>
                <w:color w:val="1F2937"/>
                <w:sz w:val="15"/>
              </w:rPr>
              <w:t>Conversation required attributes</w:t>
            </w:r>
          </w:p>
        </w:tc>
        <w:tc>
          <w:tcPr>
            <w:tcW w:type="dxa" w:w="3384"/>
            <w:shd w:fill="F8FAFC"/>
            <w:tcMar>
              <w:top w:w="70" w:type="dxa"/>
              <w:start w:w="90" w:type="dxa"/>
              <w:bottom w:w="70" w:type="dxa"/>
              <w:end w:w="90" w:type="dxa"/>
            </w:tcMar>
          </w:tcPr>
          <w:p>
            <w:pPr>
              <w:spacing w:after="0"/>
            </w:pPr>
            <w:r>
              <w:rPr>
                <w:color w:val="1F2937"/>
                <w:sz w:val="15"/>
              </w:rPr>
              <w:t>Requires agents to populate specified conversation fields.</w:t>
            </w:r>
          </w:p>
        </w:tc>
        <w:tc>
          <w:tcPr>
            <w:tcW w:type="dxa" w:w="4032"/>
            <w:shd w:fill="F8FAFC"/>
            <w:tcMar>
              <w:top w:w="70" w:type="dxa"/>
              <w:start w:w="90" w:type="dxa"/>
              <w:bottom w:w="70" w:type="dxa"/>
              <w:end w:w="90" w:type="dxa"/>
            </w:tcMar>
          </w:tcPr>
          <w:p>
            <w:pPr>
              <w:spacing w:after="0"/>
            </w:pPr>
            <w:r>
              <w:rPr>
                <w:color w:val="1F2937"/>
                <w:sz w:val="15"/>
              </w:rPr>
              <w:t>Validate required fields in the custom UI and gateway before allowed state transitions.</w:t>
            </w:r>
          </w:p>
        </w:tc>
      </w:tr>
    </w:tbl>
    <w:p>
      <w:pPr>
        <w:pStyle w:val="Heading2"/>
        <w:keepNext/>
        <w:keepLines/>
        <w:widowControl/>
      </w:pPr>
      <w:r>
        <w:t>14.2 Additional proprietary capabilities visible in the tree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7365D"/>
            <w:tcMar>
              <w:top w:w="75" w:type="dxa"/>
              <w:start w:w="90" w:type="dxa"/>
              <w:bottom w:w="75" w:type="dxa"/>
              <w:end w:w="90" w:type="dxa"/>
            </w:tcMar>
          </w:tcPr>
          <w:p>
            <w:pPr>
              <w:jc w:val="left"/>
            </w:pPr>
            <w:r>
              <w:rPr>
                <w:b/>
                <w:color w:val="FFFFFF"/>
                <w:sz w:val="15"/>
              </w:rPr>
              <w:t>Capability</w:t>
            </w:r>
          </w:p>
        </w:tc>
        <w:tc>
          <w:tcPr>
            <w:tcW w:type="dxa" w:w="3816"/>
            <w:shd w:fill="17365D"/>
            <w:tcMar>
              <w:top w:w="75" w:type="dxa"/>
              <w:start w:w="90" w:type="dxa"/>
              <w:bottom w:w="75" w:type="dxa"/>
              <w:end w:w="90" w:type="dxa"/>
            </w:tcMar>
          </w:tcPr>
          <w:p>
            <w:pPr>
              <w:jc w:val="left"/>
            </w:pPr>
            <w:r>
              <w:rPr>
                <w:b/>
                <w:color w:val="FFFFFF"/>
                <w:sz w:val="15"/>
              </w:rPr>
              <w:t>Evidence in enterprise code</w:t>
            </w:r>
          </w:p>
        </w:tc>
        <w:tc>
          <w:tcPr>
            <w:tcW w:type="dxa" w:w="3744"/>
            <w:shd w:fill="17365D"/>
            <w:tcMar>
              <w:top w:w="75" w:type="dxa"/>
              <w:start w:w="90" w:type="dxa"/>
              <w:bottom w:w="75" w:type="dxa"/>
              <w:end w:w="90" w:type="dxa"/>
            </w:tcMar>
          </w:tcPr>
          <w:p>
            <w:pPr>
              <w:jc w:val="left"/>
            </w:pPr>
            <w:r>
              <w:rPr>
                <w:b/>
                <w:color w:val="FFFFFF"/>
                <w:sz w:val="15"/>
              </w:rPr>
              <w:t>Implication</w:t>
            </w:r>
          </w:p>
        </w:tc>
      </w:tr>
      <w:tr>
        <w:trPr>
          <w:cantSplit/>
        </w:trPr>
        <w:tc>
          <w:tcPr>
            <w:tcW w:type="dxa" w:w="2088"/>
            <w:tcMar>
              <w:top w:w="70" w:type="dxa"/>
              <w:start w:w="90" w:type="dxa"/>
              <w:bottom w:w="70" w:type="dxa"/>
              <w:end w:w="90" w:type="dxa"/>
            </w:tcMar>
          </w:tcPr>
          <w:p>
            <w:pPr>
              <w:spacing w:after="0"/>
            </w:pPr>
            <w:r>
              <w:rPr>
                <w:color w:val="1F2937"/>
                <w:sz w:val="15"/>
              </w:rPr>
              <w:t>SAML SSO</w:t>
            </w:r>
          </w:p>
        </w:tc>
        <w:tc>
          <w:tcPr>
            <w:tcW w:type="dxa" w:w="3816"/>
            <w:tcMar>
              <w:top w:w="70" w:type="dxa"/>
              <w:start w:w="90" w:type="dxa"/>
              <w:bottom w:w="70" w:type="dxa"/>
              <w:end w:w="90" w:type="dxa"/>
            </w:tcMar>
          </w:tcPr>
          <w:p>
            <w:pPr>
              <w:spacing w:after="0"/>
            </w:pPr>
            <w:r>
              <w:rPr>
                <w:color w:val="1F2937"/>
                <w:sz w:val="15"/>
              </w:rPr>
              <w:t>SAML settings, jobs, authentication, and account integration.</w:t>
            </w:r>
          </w:p>
        </w:tc>
        <w:tc>
          <w:tcPr>
            <w:tcW w:type="dxa" w:w="3744"/>
            <w:tcMar>
              <w:top w:w="70" w:type="dxa"/>
              <w:start w:w="90" w:type="dxa"/>
              <w:bottom w:w="70" w:type="dxa"/>
              <w:end w:w="90" w:type="dxa"/>
            </w:tcMar>
          </w:tcPr>
          <w:p>
            <w:pPr>
              <w:spacing w:after="0"/>
            </w:pPr>
            <w:r>
              <w:rPr>
                <w:color w:val="1F2937"/>
                <w:sz w:val="15"/>
              </w:rPr>
              <w:t>Use the proprietary application’s SSO and provision Chatwoot identities through Platform APIs.</w:t>
            </w:r>
          </w:p>
        </w:tc>
      </w:tr>
      <w:tr>
        <w:trPr>
          <w:cantSplit/>
        </w:trPr>
        <w:tc>
          <w:tcPr>
            <w:tcW w:type="dxa" w:w="2088"/>
            <w:shd w:fill="F8FAFC"/>
            <w:tcMar>
              <w:top w:w="70" w:type="dxa"/>
              <w:start w:w="90" w:type="dxa"/>
              <w:bottom w:w="70" w:type="dxa"/>
              <w:end w:w="90" w:type="dxa"/>
            </w:tcMar>
          </w:tcPr>
          <w:p>
            <w:pPr>
              <w:spacing w:after="0"/>
            </w:pPr>
            <w:r>
              <w:rPr>
                <w:color w:val="1F2937"/>
                <w:sz w:val="15"/>
              </w:rPr>
              <w:t>Agent capacity management</w:t>
            </w:r>
          </w:p>
        </w:tc>
        <w:tc>
          <w:tcPr>
            <w:tcW w:type="dxa" w:w="3816"/>
            <w:shd w:fill="F8FAFC"/>
            <w:tcMar>
              <w:top w:w="70" w:type="dxa"/>
              <w:start w:w="90" w:type="dxa"/>
              <w:bottom w:w="70" w:type="dxa"/>
              <w:end w:w="90" w:type="dxa"/>
            </w:tcMar>
          </w:tcPr>
          <w:p>
            <w:pPr>
              <w:spacing w:after="0"/>
            </w:pPr>
            <w:r>
              <w:rPr>
                <w:color w:val="1F2937"/>
                <w:sz w:val="15"/>
              </w:rPr>
              <w:t>Capacity policies, inbox limits, and capacity-aware assignment extensions.</w:t>
            </w:r>
          </w:p>
        </w:tc>
        <w:tc>
          <w:tcPr>
            <w:tcW w:type="dxa" w:w="3744"/>
            <w:shd w:fill="F8FAFC"/>
            <w:tcMar>
              <w:top w:w="70" w:type="dxa"/>
              <w:start w:w="90" w:type="dxa"/>
              <w:bottom w:w="70" w:type="dxa"/>
              <w:end w:w="90" w:type="dxa"/>
            </w:tcMar>
          </w:tcPr>
          <w:p>
            <w:pPr>
              <w:spacing w:after="0"/>
            </w:pPr>
            <w:r>
              <w:rPr>
                <w:color w:val="1F2937"/>
                <w:sz w:val="15"/>
              </w:rPr>
              <w:t>Implement workload limits in the proprietary routing layer if required.</w:t>
            </w:r>
          </w:p>
        </w:tc>
      </w:tr>
      <w:tr>
        <w:trPr>
          <w:cantSplit/>
        </w:trPr>
        <w:tc>
          <w:tcPr>
            <w:tcW w:type="dxa" w:w="2088"/>
            <w:tcMar>
              <w:top w:w="70" w:type="dxa"/>
              <w:start w:w="90" w:type="dxa"/>
              <w:bottom w:w="70" w:type="dxa"/>
              <w:end w:w="90" w:type="dxa"/>
            </w:tcMar>
          </w:tcPr>
          <w:p>
            <w:pPr>
              <w:spacing w:after="0"/>
            </w:pPr>
            <w:r>
              <w:rPr>
                <w:color w:val="1F2937"/>
                <w:sz w:val="15"/>
              </w:rPr>
              <w:t>Voice and Twilio calling</w:t>
            </w:r>
          </w:p>
        </w:tc>
        <w:tc>
          <w:tcPr>
            <w:tcW w:type="dxa" w:w="3816"/>
            <w:tcMar>
              <w:top w:w="70" w:type="dxa"/>
              <w:start w:w="90" w:type="dxa"/>
              <w:bottom w:w="70" w:type="dxa"/>
              <w:end w:w="90" w:type="dxa"/>
            </w:tcMar>
          </w:tcPr>
          <w:p>
            <w:pPr>
              <w:spacing w:after="0"/>
            </w:pPr>
            <w:r>
              <w:rPr>
                <w:color w:val="1F2937"/>
                <w:sz w:val="15"/>
              </w:rPr>
              <w:t>Call models, voice services, provider jobs, recordings, and Twilio integration.</w:t>
            </w:r>
          </w:p>
        </w:tc>
        <w:tc>
          <w:tcPr>
            <w:tcW w:type="dxa" w:w="3744"/>
            <w:tcMar>
              <w:top w:w="70" w:type="dxa"/>
              <w:start w:w="90" w:type="dxa"/>
              <w:bottom w:w="70" w:type="dxa"/>
              <w:end w:w="90" w:type="dxa"/>
            </w:tcMar>
          </w:tcPr>
          <w:p>
            <w:pPr>
              <w:spacing w:after="0"/>
            </w:pPr>
            <w:r>
              <w:rPr>
                <w:color w:val="1F2937"/>
                <w:sz w:val="15"/>
              </w:rPr>
              <w:t>Treat as unavailable in CE unless separately licensed; add a separate voice provider if needed.</w:t>
            </w:r>
          </w:p>
        </w:tc>
      </w:tr>
      <w:tr>
        <w:trPr>
          <w:cantSplit/>
        </w:trPr>
        <w:tc>
          <w:tcPr>
            <w:tcW w:type="dxa" w:w="2088"/>
            <w:shd w:fill="F8FAFC"/>
            <w:tcMar>
              <w:top w:w="70" w:type="dxa"/>
              <w:start w:w="90" w:type="dxa"/>
              <w:bottom w:w="70" w:type="dxa"/>
              <w:end w:w="90" w:type="dxa"/>
            </w:tcMar>
          </w:tcPr>
          <w:p>
            <w:pPr>
              <w:spacing w:after="0"/>
            </w:pPr>
            <w:r>
              <w:rPr>
                <w:color w:val="1F2937"/>
                <w:sz w:val="15"/>
              </w:rPr>
              <w:t>Captain AI / Copilot</w:t>
            </w:r>
          </w:p>
        </w:tc>
        <w:tc>
          <w:tcPr>
            <w:tcW w:type="dxa" w:w="3816"/>
            <w:shd w:fill="F8FAFC"/>
            <w:tcMar>
              <w:top w:w="70" w:type="dxa"/>
              <w:start w:w="90" w:type="dxa"/>
              <w:bottom w:w="70" w:type="dxa"/>
              <w:end w:w="90" w:type="dxa"/>
            </w:tcMar>
          </w:tcPr>
          <w:p>
            <w:pPr>
              <w:spacing w:after="0"/>
            </w:pPr>
            <w:r>
              <w:rPr>
                <w:color w:val="1F2937"/>
                <w:sz w:val="15"/>
              </w:rPr>
              <w:t>Assistants, responses, knowledge documents, scenarios, custom tools, embeddings, LLM tasks, and reports.</w:t>
            </w:r>
          </w:p>
        </w:tc>
        <w:tc>
          <w:tcPr>
            <w:tcW w:type="dxa" w:w="3744"/>
            <w:shd w:fill="F8FAFC"/>
            <w:tcMar>
              <w:top w:w="70" w:type="dxa"/>
              <w:start w:w="90" w:type="dxa"/>
              <w:bottom w:w="70" w:type="dxa"/>
              <w:end w:w="90" w:type="dxa"/>
            </w:tcMar>
          </w:tcPr>
          <w:p>
            <w:pPr>
              <w:spacing w:after="0"/>
            </w:pPr>
            <w:r>
              <w:rPr>
                <w:color w:val="1F2937"/>
                <w:sz w:val="15"/>
              </w:rPr>
              <w:t>Do not copy; integrate independent proprietary AI capabilities.</w:t>
            </w:r>
          </w:p>
        </w:tc>
      </w:tr>
      <w:tr>
        <w:trPr>
          <w:cantSplit/>
        </w:trPr>
        <w:tc>
          <w:tcPr>
            <w:tcW w:type="dxa" w:w="2088"/>
            <w:tcMar>
              <w:top w:w="70" w:type="dxa"/>
              <w:start w:w="90" w:type="dxa"/>
              <w:bottom w:w="70" w:type="dxa"/>
              <w:end w:w="90" w:type="dxa"/>
            </w:tcMar>
          </w:tcPr>
          <w:p>
            <w:pPr>
              <w:spacing w:after="0"/>
            </w:pPr>
            <w:r>
              <w:rPr>
                <w:color w:val="1F2937"/>
                <w:sz w:val="15"/>
              </w:rPr>
              <w:t>SLA backend</w:t>
            </w:r>
          </w:p>
        </w:tc>
        <w:tc>
          <w:tcPr>
            <w:tcW w:type="dxa" w:w="3816"/>
            <w:tcMar>
              <w:top w:w="70" w:type="dxa"/>
              <w:start w:w="90" w:type="dxa"/>
              <w:bottom w:w="70" w:type="dxa"/>
              <w:end w:w="90" w:type="dxa"/>
            </w:tcMar>
          </w:tcPr>
          <w:p>
            <w:pPr>
              <w:spacing w:after="0"/>
            </w:pPr>
            <w:r>
              <w:rPr>
                <w:color w:val="1F2937"/>
                <w:sz w:val="15"/>
              </w:rPr>
              <w:t>Policies, applied SLAs, events, services, jobs, and reporting.</w:t>
            </w:r>
          </w:p>
        </w:tc>
        <w:tc>
          <w:tcPr>
            <w:tcW w:type="dxa" w:w="3744"/>
            <w:tcMar>
              <w:top w:w="70" w:type="dxa"/>
              <w:start w:w="90" w:type="dxa"/>
              <w:bottom w:w="70" w:type="dxa"/>
              <w:end w:w="90" w:type="dxa"/>
            </w:tcMar>
          </w:tcPr>
          <w:p>
            <w:pPr>
              <w:spacing w:after="0"/>
            </w:pPr>
            <w:r>
              <w:rPr>
                <w:color w:val="1F2937"/>
                <w:sz w:val="15"/>
              </w:rPr>
              <w:t>Maintain product-native SLA records and timers.</w:t>
            </w:r>
          </w:p>
        </w:tc>
      </w:tr>
      <w:tr>
        <w:trPr>
          <w:cantSplit/>
        </w:trPr>
        <w:tc>
          <w:tcPr>
            <w:tcW w:type="dxa" w:w="2088"/>
            <w:shd w:fill="F8FAFC"/>
            <w:tcMar>
              <w:top w:w="70" w:type="dxa"/>
              <w:start w:w="90" w:type="dxa"/>
              <w:bottom w:w="70" w:type="dxa"/>
              <w:end w:w="90" w:type="dxa"/>
            </w:tcMar>
          </w:tcPr>
          <w:p>
            <w:pPr>
              <w:spacing w:after="0"/>
            </w:pPr>
            <w:r>
              <w:rPr>
                <w:color w:val="1F2937"/>
                <w:sz w:val="15"/>
              </w:rPr>
              <w:t>Custom roles backend</w:t>
            </w:r>
          </w:p>
        </w:tc>
        <w:tc>
          <w:tcPr>
            <w:tcW w:type="dxa" w:w="3816"/>
            <w:shd w:fill="F8FAFC"/>
            <w:tcMar>
              <w:top w:w="70" w:type="dxa"/>
              <w:start w:w="90" w:type="dxa"/>
              <w:bottom w:w="70" w:type="dxa"/>
              <w:end w:w="90" w:type="dxa"/>
            </w:tcMar>
          </w:tcPr>
          <w:p>
            <w:pPr>
              <w:spacing w:after="0"/>
            </w:pPr>
            <w:r>
              <w:rPr>
                <w:color w:val="1F2937"/>
                <w:sz w:val="15"/>
              </w:rPr>
              <w:t>CustomRole models and permission extensions.</w:t>
            </w:r>
          </w:p>
        </w:tc>
        <w:tc>
          <w:tcPr>
            <w:tcW w:type="dxa" w:w="3744"/>
            <w:shd w:fill="F8FAFC"/>
            <w:tcMar>
              <w:top w:w="70" w:type="dxa"/>
              <w:start w:w="90" w:type="dxa"/>
              <w:bottom w:w="70" w:type="dxa"/>
              <w:end w:w="90" w:type="dxa"/>
            </w:tcMar>
          </w:tcPr>
          <w:p>
            <w:pPr>
              <w:spacing w:after="0"/>
            </w:pPr>
            <w:r>
              <w:rPr>
                <w:color w:val="1F2937"/>
                <w:sz w:val="15"/>
              </w:rPr>
              <w:t>Use product RBAC; do not depend on Chatwoot granular roles in CE.</w:t>
            </w:r>
          </w:p>
        </w:tc>
      </w:tr>
      <w:tr>
        <w:trPr>
          <w:cantSplit/>
        </w:trPr>
        <w:tc>
          <w:tcPr>
            <w:tcW w:type="dxa" w:w="2088"/>
            <w:tcMar>
              <w:top w:w="70" w:type="dxa"/>
              <w:start w:w="90" w:type="dxa"/>
              <w:bottom w:w="70" w:type="dxa"/>
              <w:end w:w="90" w:type="dxa"/>
            </w:tcMar>
          </w:tcPr>
          <w:p>
            <w:pPr>
              <w:spacing w:after="0"/>
            </w:pPr>
            <w:r>
              <w:rPr>
                <w:color w:val="1F2937"/>
                <w:sz w:val="15"/>
              </w:rPr>
              <w:t>Premium branding configuration</w:t>
            </w:r>
          </w:p>
        </w:tc>
        <w:tc>
          <w:tcPr>
            <w:tcW w:type="dxa" w:w="3816"/>
            <w:tcMar>
              <w:top w:w="70" w:type="dxa"/>
              <w:start w:w="90" w:type="dxa"/>
              <w:bottom w:w="70" w:type="dxa"/>
              <w:end w:w="90" w:type="dxa"/>
            </w:tcMar>
          </w:tcPr>
          <w:p>
            <w:pPr>
              <w:spacing w:after="0"/>
            </w:pPr>
            <w:r>
              <w:rPr>
                <w:color w:val="1F2937"/>
                <w:sz w:val="15"/>
              </w:rPr>
              <w:t>Installation name, logos, brand URLs, terms, privacy links, and manifest settings.</w:t>
            </w:r>
          </w:p>
        </w:tc>
        <w:tc>
          <w:tcPr>
            <w:tcW w:type="dxa" w:w="3744"/>
            <w:tcMar>
              <w:top w:w="70" w:type="dxa"/>
              <w:start w:w="90" w:type="dxa"/>
              <w:bottom w:w="70" w:type="dxa"/>
              <w:end w:w="90" w:type="dxa"/>
            </w:tcMar>
          </w:tcPr>
          <w:p>
            <w:pPr>
              <w:spacing w:after="0"/>
            </w:pPr>
            <w:r>
              <w:rPr>
                <w:color w:val="1F2937"/>
                <w:sz w:val="15"/>
              </w:rPr>
              <w:t>Customers see the proprietary UI, eliminating most need for Chatwoot white-labeling.</w:t>
            </w:r>
          </w:p>
        </w:tc>
      </w:tr>
      <w:tr>
        <w:trPr>
          <w:cantSplit/>
        </w:trPr>
        <w:tc>
          <w:tcPr>
            <w:tcW w:type="dxa" w:w="2088"/>
            <w:shd w:fill="F8FAFC"/>
            <w:tcMar>
              <w:top w:w="70" w:type="dxa"/>
              <w:start w:w="90" w:type="dxa"/>
              <w:bottom w:w="70" w:type="dxa"/>
              <w:end w:w="90" w:type="dxa"/>
            </w:tcMar>
          </w:tcPr>
          <w:p>
            <w:pPr>
              <w:spacing w:after="0"/>
            </w:pPr>
            <w:r>
              <w:rPr>
                <w:color w:val="1F2937"/>
                <w:sz w:val="15"/>
              </w:rPr>
              <w:t>Other supporting areas</w:t>
            </w:r>
          </w:p>
        </w:tc>
        <w:tc>
          <w:tcPr>
            <w:tcW w:type="dxa" w:w="3816"/>
            <w:shd w:fill="F8FAFC"/>
            <w:tcMar>
              <w:top w:w="70" w:type="dxa"/>
              <w:start w:w="90" w:type="dxa"/>
              <w:bottom w:w="70" w:type="dxa"/>
              <w:end w:w="90" w:type="dxa"/>
            </w:tcMar>
          </w:tcPr>
          <w:p>
            <w:pPr>
              <w:spacing w:after="0"/>
            </w:pPr>
            <w:r>
              <w:rPr>
                <w:color w:val="1F2937"/>
                <w:sz w:val="15"/>
              </w:rPr>
              <w:t>Companies/CRM, custom domains, Cloudflare, WhatsApp/Twilio services, contact processing, migrations, onboarding, and licensing services.</w:t>
            </w:r>
          </w:p>
        </w:tc>
        <w:tc>
          <w:tcPr>
            <w:tcW w:type="dxa" w:w="3744"/>
            <w:shd w:fill="F8FAFC"/>
            <w:tcMar>
              <w:top w:w="70" w:type="dxa"/>
              <w:start w:w="90" w:type="dxa"/>
              <w:bottom w:w="70" w:type="dxa"/>
              <w:end w:w="90" w:type="dxa"/>
            </w:tcMar>
          </w:tcPr>
          <w:p>
            <w:pPr>
              <w:spacing w:after="0"/>
            </w:pPr>
            <w:r>
              <w:rPr>
                <w:color w:val="1F2937"/>
                <w:sz w:val="15"/>
              </w:rPr>
              <w:t>Assess individually; a file’s location alone is not proof of a separately licensed product entitlement.</w:t>
            </w:r>
          </w:p>
        </w:tc>
      </w:tr>
    </w:tbl>
    <w:p>
      <w:pPr>
        <w:pStyle w:val="Heading2"/>
        <w:keepNext/>
        <w:keepLines/>
        <w:widowControl/>
      </w:pPr>
      <w:r>
        <w:t>14.3 Enterprise license decision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96"/>
            <w:shd w:fill="17365D"/>
            <w:tcMar>
              <w:top w:w="75" w:type="dxa"/>
              <w:start w:w="90" w:type="dxa"/>
              <w:bottom w:w="75" w:type="dxa"/>
              <w:end w:w="90" w:type="dxa"/>
            </w:tcMar>
          </w:tcPr>
          <w:p>
            <w:pPr>
              <w:jc w:val="left"/>
            </w:pPr>
            <w:r>
              <w:rPr>
                <w:b/>
                <w:color w:val="FFFFFF"/>
                <w:sz w:val="16"/>
              </w:rPr>
              <w:t>Scenario</w:t>
            </w:r>
          </w:p>
        </w:tc>
        <w:tc>
          <w:tcPr>
            <w:tcW w:type="dxa" w:w="6552"/>
            <w:shd w:fill="17365D"/>
            <w:tcMar>
              <w:top w:w="75" w:type="dxa"/>
              <w:start w:w="90" w:type="dxa"/>
              <w:bottom w:w="75" w:type="dxa"/>
              <w:end w:w="90" w:type="dxa"/>
            </w:tcMar>
          </w:tcPr>
          <w:p>
            <w:pPr>
              <w:jc w:val="left"/>
            </w:pPr>
            <w:r>
              <w:rPr>
                <w:b/>
                <w:color w:val="FFFFFF"/>
                <w:sz w:val="16"/>
              </w:rPr>
              <w:t>Decision</w:t>
            </w:r>
          </w:p>
        </w:tc>
      </w:tr>
      <w:tr>
        <w:trPr>
          <w:cantSplit/>
        </w:trPr>
        <w:tc>
          <w:tcPr>
            <w:tcW w:type="dxa" w:w="3096"/>
            <w:tcMar>
              <w:top w:w="70" w:type="dxa"/>
              <w:start w:w="90" w:type="dxa"/>
              <w:bottom w:w="70" w:type="dxa"/>
              <w:end w:w="90" w:type="dxa"/>
            </w:tcMar>
          </w:tcPr>
          <w:p>
            <w:pPr>
              <w:spacing w:after="0"/>
            </w:pPr>
            <w:r>
              <w:rPr>
                <w:color w:val="1F2937"/>
                <w:sz w:val="16"/>
              </w:rPr>
              <w:t>CE features are sufficient</w:t>
            </w:r>
          </w:p>
        </w:tc>
        <w:tc>
          <w:tcPr>
            <w:tcW w:type="dxa" w:w="6552"/>
            <w:tcMar>
              <w:top w:w="70" w:type="dxa"/>
              <w:start w:w="90" w:type="dxa"/>
              <w:bottom w:w="70" w:type="dxa"/>
              <w:end w:w="90" w:type="dxa"/>
            </w:tcMar>
          </w:tcPr>
          <w:p>
            <w:pPr>
              <w:spacing w:after="0"/>
            </w:pPr>
            <w:r>
              <w:rPr>
                <w:color w:val="1F2937"/>
                <w:sz w:val="16"/>
              </w:rPr>
              <w:t>Run a pinned CE image and implement missing product-level controls in proprietary services.</w:t>
            </w:r>
          </w:p>
        </w:tc>
      </w:tr>
      <w:tr>
        <w:trPr>
          <w:cantSplit/>
        </w:trPr>
        <w:tc>
          <w:tcPr>
            <w:tcW w:type="dxa" w:w="3096"/>
            <w:shd w:fill="F8FAFC"/>
            <w:tcMar>
              <w:top w:w="70" w:type="dxa"/>
              <w:start w:w="90" w:type="dxa"/>
              <w:bottom w:w="70" w:type="dxa"/>
              <w:end w:w="90" w:type="dxa"/>
            </w:tcMar>
          </w:tcPr>
          <w:p>
            <w:pPr>
              <w:spacing w:after="0"/>
            </w:pPr>
            <w:r>
              <w:rPr>
                <w:color w:val="1F2937"/>
                <w:sz w:val="16"/>
              </w:rPr>
              <w:t>A proprietary Chatwoot capability is operationally valuable</w:t>
            </w:r>
          </w:p>
        </w:tc>
        <w:tc>
          <w:tcPr>
            <w:tcW w:type="dxa" w:w="6552"/>
            <w:shd w:fill="F8FAFC"/>
            <w:tcMar>
              <w:top w:w="70" w:type="dxa"/>
              <w:start w:w="90" w:type="dxa"/>
              <w:bottom w:w="70" w:type="dxa"/>
              <w:end w:w="90" w:type="dxa"/>
            </w:tcMar>
          </w:tcPr>
          <w:p>
            <w:pPr>
              <w:spacing w:after="0"/>
            </w:pPr>
            <w:r>
              <w:rPr>
                <w:color w:val="1F2937"/>
                <w:sz w:val="16"/>
              </w:rPr>
              <w:t>Purchase the appropriate Chatwoot enterprise rights and confirm custom-UI/API usage and seat accounting with Chatwoot.</w:t>
            </w:r>
          </w:p>
        </w:tc>
      </w:tr>
      <w:tr>
        <w:trPr>
          <w:cantSplit/>
        </w:trPr>
        <w:tc>
          <w:tcPr>
            <w:tcW w:type="dxa" w:w="3096"/>
            <w:tcMar>
              <w:top w:w="70" w:type="dxa"/>
              <w:start w:w="90" w:type="dxa"/>
              <w:bottom w:w="70" w:type="dxa"/>
              <w:end w:w="90" w:type="dxa"/>
            </w:tcMar>
          </w:tcPr>
          <w:p>
            <w:pPr>
              <w:spacing w:after="0"/>
            </w:pPr>
            <w:r>
              <w:rPr>
                <w:color w:val="1F2937"/>
                <w:sz w:val="16"/>
              </w:rPr>
              <w:t>A feature is easy to build independently</w:t>
            </w:r>
          </w:p>
        </w:tc>
        <w:tc>
          <w:tcPr>
            <w:tcW w:type="dxa" w:w="6552"/>
            <w:tcMar>
              <w:top w:w="70" w:type="dxa"/>
              <w:start w:w="90" w:type="dxa"/>
              <w:bottom w:w="70" w:type="dxa"/>
              <w:end w:w="90" w:type="dxa"/>
            </w:tcMar>
          </w:tcPr>
          <w:p>
            <w:pPr>
              <w:spacing w:after="0"/>
            </w:pPr>
            <w:r>
              <w:rPr>
                <w:color w:val="1F2937"/>
                <w:sz w:val="16"/>
              </w:rPr>
              <w:t>Implement it from requirements and original design without copying enterprise/ source.</w:t>
            </w:r>
          </w:p>
        </w:tc>
      </w:tr>
      <w:tr>
        <w:trPr>
          <w:cantSplit/>
        </w:trPr>
        <w:tc>
          <w:tcPr>
            <w:tcW w:type="dxa" w:w="3096"/>
            <w:shd w:fill="F8FAFC"/>
            <w:tcMar>
              <w:top w:w="70" w:type="dxa"/>
              <w:start w:w="90" w:type="dxa"/>
              <w:bottom w:w="70" w:type="dxa"/>
              <w:end w:w="90" w:type="dxa"/>
            </w:tcMar>
          </w:tcPr>
          <w:p>
            <w:pPr>
              <w:spacing w:after="0"/>
            </w:pPr>
            <w:r>
              <w:rPr>
                <w:color w:val="1F2937"/>
                <w:sz w:val="16"/>
              </w:rPr>
              <w:t>A feature is tightly coupled to Chatwoot internals</w:t>
            </w:r>
          </w:p>
        </w:tc>
        <w:tc>
          <w:tcPr>
            <w:tcW w:type="dxa" w:w="6552"/>
            <w:shd w:fill="F8FAFC"/>
            <w:tcMar>
              <w:top w:w="70" w:type="dxa"/>
              <w:start w:w="90" w:type="dxa"/>
              <w:bottom w:w="70" w:type="dxa"/>
              <w:end w:w="90" w:type="dxa"/>
            </w:tcMar>
          </w:tcPr>
          <w:p>
            <w:pPr>
              <w:spacing w:after="0"/>
            </w:pPr>
            <w:r>
              <w:rPr>
                <w:color w:val="1F2937"/>
                <w:sz w:val="16"/>
              </w:rPr>
              <w:t>Prefer a licensed enterprise deployment rather than attempting to recreate proprietary internal code.</w:t>
            </w:r>
          </w:p>
        </w:tc>
      </w:tr>
    </w:tbl>
    <w:p>
      <w:pPr>
        <w:pStyle w:val="Heading1"/>
        <w:keepNext/>
        <w:keepLines/>
        <w:widowControl/>
      </w:pPr>
      <w:r>
        <w:t>15. Security Requirements</w:t>
      </w:r>
    </w:p>
    <w:p>
      <w:pPr>
        <w:pStyle w:val="Heading2"/>
        <w:keepNext/>
        <w:keepLines/>
        <w:widowControl/>
      </w:pPr>
      <w:r>
        <w:t>15.1 Mandatory controls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17365D"/>
            <w:tcMar>
              <w:top w:w="75" w:type="dxa"/>
              <w:start w:w="90" w:type="dxa"/>
              <w:bottom w:w="75" w:type="dxa"/>
              <w:end w:w="90" w:type="dxa"/>
            </w:tcMar>
          </w:tcPr>
          <w:p>
            <w:pPr>
              <w:jc w:val="left"/>
            </w:pPr>
            <w:r>
              <w:rPr>
                <w:b/>
                <w:color w:val="FFFFFF"/>
                <w:sz w:val="16"/>
              </w:rPr>
              <w:t>Control</w:t>
            </w:r>
          </w:p>
        </w:tc>
        <w:tc>
          <w:tcPr>
            <w:tcW w:type="dxa" w:w="7560"/>
            <w:shd w:fill="17365D"/>
            <w:tcMar>
              <w:top w:w="75" w:type="dxa"/>
              <w:start w:w="90" w:type="dxa"/>
              <w:bottom w:w="75" w:type="dxa"/>
              <w:end w:w="90" w:type="dxa"/>
            </w:tcMar>
          </w:tcPr>
          <w:p>
            <w:pPr>
              <w:jc w:val="left"/>
            </w:pPr>
            <w:r>
              <w:rPr>
                <w:b/>
                <w:color w:val="FFFFFF"/>
                <w:sz w:val="16"/>
              </w:rPr>
              <w:t>Requirement</w:t>
            </w:r>
          </w:p>
        </w:tc>
      </w:tr>
      <w:tr>
        <w:trPr>
          <w:cantSplit/>
        </w:trPr>
        <w:tc>
          <w:tcPr>
            <w:tcW w:type="dxa" w:w="2088"/>
            <w:tcMar>
              <w:top w:w="70" w:type="dxa"/>
              <w:start w:w="90" w:type="dxa"/>
              <w:bottom w:w="70" w:type="dxa"/>
              <w:end w:w="90" w:type="dxa"/>
            </w:tcMar>
          </w:tcPr>
          <w:p>
            <w:pPr>
              <w:spacing w:after="0"/>
            </w:pPr>
            <w:r>
              <w:rPr>
                <w:color w:val="1F2937"/>
                <w:sz w:val="16"/>
              </w:rPr>
              <w:t>Tenant authorization</w:t>
            </w:r>
          </w:p>
        </w:tc>
        <w:tc>
          <w:tcPr>
            <w:tcW w:type="dxa" w:w="7560"/>
            <w:tcMar>
              <w:top w:w="70" w:type="dxa"/>
              <w:start w:w="90" w:type="dxa"/>
              <w:bottom w:w="70" w:type="dxa"/>
              <w:end w:w="90" w:type="dxa"/>
            </w:tcMar>
          </w:tcPr>
          <w:p>
            <w:pPr>
              <w:spacing w:after="0"/>
            </w:pPr>
            <w:r>
              <w:rPr>
                <w:color w:val="1F2937"/>
                <w:sz w:val="16"/>
              </w:rPr>
              <w:t>Every gateway request must derive tenant context from the product session and verify that mapped Chatwoot account, inbox, conversation, contact, and attachment belong to that tenant.</w:t>
            </w:r>
          </w:p>
        </w:tc>
      </w:tr>
      <w:tr>
        <w:trPr>
          <w:cantSplit/>
        </w:trPr>
        <w:tc>
          <w:tcPr>
            <w:tcW w:type="dxa" w:w="2088"/>
            <w:shd w:fill="F8FAFC"/>
            <w:tcMar>
              <w:top w:w="70" w:type="dxa"/>
              <w:start w:w="90" w:type="dxa"/>
              <w:bottom w:w="70" w:type="dxa"/>
              <w:end w:w="90" w:type="dxa"/>
            </w:tcMar>
          </w:tcPr>
          <w:p>
            <w:pPr>
              <w:spacing w:after="0"/>
            </w:pPr>
            <w:r>
              <w:rPr>
                <w:color w:val="1F2937"/>
                <w:sz w:val="16"/>
              </w:rPr>
              <w:t>Token isolation</w:t>
            </w:r>
          </w:p>
        </w:tc>
        <w:tc>
          <w:tcPr>
            <w:tcW w:type="dxa" w:w="7560"/>
            <w:shd w:fill="F8FAFC"/>
            <w:tcMar>
              <w:top w:w="70" w:type="dxa"/>
              <w:start w:w="90" w:type="dxa"/>
              <w:bottom w:w="70" w:type="dxa"/>
              <w:end w:w="90" w:type="dxa"/>
            </w:tcMar>
          </w:tcPr>
          <w:p>
            <w:pPr>
              <w:spacing w:after="0"/>
            </w:pPr>
            <w:r>
              <w:rPr>
                <w:color w:val="1F2937"/>
                <w:sz w:val="16"/>
              </w:rPr>
              <w:t>Chatwoot tokens and secrets remain server-side, encrypted, scoped, rotated, and excluded from logs.</w:t>
            </w:r>
          </w:p>
        </w:tc>
      </w:tr>
      <w:tr>
        <w:trPr>
          <w:cantSplit/>
        </w:trPr>
        <w:tc>
          <w:tcPr>
            <w:tcW w:type="dxa" w:w="2088"/>
            <w:tcMar>
              <w:top w:w="70" w:type="dxa"/>
              <w:start w:w="90" w:type="dxa"/>
              <w:bottom w:w="70" w:type="dxa"/>
              <w:end w:w="90" w:type="dxa"/>
            </w:tcMar>
          </w:tcPr>
          <w:p>
            <w:pPr>
              <w:spacing w:after="0"/>
            </w:pPr>
            <w:r>
              <w:rPr>
                <w:color w:val="1F2937"/>
                <w:sz w:val="16"/>
              </w:rPr>
              <w:t>Content sanitization</w:t>
            </w:r>
          </w:p>
        </w:tc>
        <w:tc>
          <w:tcPr>
            <w:tcW w:type="dxa" w:w="7560"/>
            <w:tcMar>
              <w:top w:w="70" w:type="dxa"/>
              <w:start w:w="90" w:type="dxa"/>
              <w:bottom w:w="70" w:type="dxa"/>
              <w:end w:w="90" w:type="dxa"/>
            </w:tcMar>
          </w:tcPr>
          <w:p>
            <w:pPr>
              <w:spacing w:after="0"/>
            </w:pPr>
            <w:r>
              <w:rPr>
                <w:color w:val="1F2937"/>
                <w:sz w:val="16"/>
              </w:rPr>
              <w:t>Sanitize inbound HTML and rich content; block active content and unsafe URLs.</w:t>
            </w:r>
          </w:p>
        </w:tc>
      </w:tr>
      <w:tr>
        <w:trPr>
          <w:cantSplit/>
        </w:trPr>
        <w:tc>
          <w:tcPr>
            <w:tcW w:type="dxa" w:w="2088"/>
            <w:shd w:fill="F8FAFC"/>
            <w:tcMar>
              <w:top w:w="70" w:type="dxa"/>
              <w:start w:w="90" w:type="dxa"/>
              <w:bottom w:w="70" w:type="dxa"/>
              <w:end w:w="90" w:type="dxa"/>
            </w:tcMar>
          </w:tcPr>
          <w:p>
            <w:pPr>
              <w:spacing w:after="0"/>
            </w:pPr>
            <w:r>
              <w:rPr>
                <w:color w:val="1F2937"/>
                <w:sz w:val="16"/>
              </w:rPr>
              <w:t>Attachment security</w:t>
            </w:r>
          </w:p>
        </w:tc>
        <w:tc>
          <w:tcPr>
            <w:tcW w:type="dxa" w:w="7560"/>
            <w:shd w:fill="F8FAFC"/>
            <w:tcMar>
              <w:top w:w="70" w:type="dxa"/>
              <w:start w:w="90" w:type="dxa"/>
              <w:bottom w:w="70" w:type="dxa"/>
              <w:end w:w="90" w:type="dxa"/>
            </w:tcMar>
          </w:tcPr>
          <w:p>
            <w:pPr>
              <w:spacing w:after="0"/>
            </w:pPr>
            <w:r>
              <w:rPr>
                <w:color w:val="1F2937"/>
                <w:sz w:val="16"/>
              </w:rPr>
              <w:t>Apply authorization, content-type validation, size limits, malware scanning, and private object-storage access.</w:t>
            </w:r>
          </w:p>
        </w:tc>
      </w:tr>
      <w:tr>
        <w:trPr>
          <w:cantSplit/>
        </w:trPr>
        <w:tc>
          <w:tcPr>
            <w:tcW w:type="dxa" w:w="2088"/>
            <w:tcMar>
              <w:top w:w="70" w:type="dxa"/>
              <w:start w:w="90" w:type="dxa"/>
              <w:bottom w:w="70" w:type="dxa"/>
              <w:end w:w="90" w:type="dxa"/>
            </w:tcMar>
          </w:tcPr>
          <w:p>
            <w:pPr>
              <w:spacing w:after="0"/>
            </w:pPr>
            <w:r>
              <w:rPr>
                <w:color w:val="1F2937"/>
                <w:sz w:val="16"/>
              </w:rPr>
              <w:t>Webhook security</w:t>
            </w:r>
          </w:p>
        </w:tc>
        <w:tc>
          <w:tcPr>
            <w:tcW w:type="dxa" w:w="7560"/>
            <w:tcMar>
              <w:top w:w="70" w:type="dxa"/>
              <w:start w:w="90" w:type="dxa"/>
              <w:bottom w:w="70" w:type="dxa"/>
              <w:end w:w="90" w:type="dxa"/>
            </w:tcMar>
          </w:tcPr>
          <w:p>
            <w:pPr>
              <w:spacing w:after="0"/>
            </w:pPr>
            <w:r>
              <w:rPr>
                <w:color w:val="1F2937"/>
                <w:sz w:val="16"/>
              </w:rPr>
              <w:t>Verify HMAC signatures, timestamp freshness, replay resistance, and idempotency.</w:t>
            </w:r>
          </w:p>
        </w:tc>
      </w:tr>
      <w:tr>
        <w:trPr>
          <w:cantSplit/>
        </w:trPr>
        <w:tc>
          <w:tcPr>
            <w:tcW w:type="dxa" w:w="2088"/>
            <w:shd w:fill="F8FAFC"/>
            <w:tcMar>
              <w:top w:w="70" w:type="dxa"/>
              <w:start w:w="90" w:type="dxa"/>
              <w:bottom w:w="70" w:type="dxa"/>
              <w:end w:w="90" w:type="dxa"/>
            </w:tcMar>
          </w:tcPr>
          <w:p>
            <w:pPr>
              <w:spacing w:after="0"/>
            </w:pPr>
            <w:r>
              <w:rPr>
                <w:color w:val="1F2937"/>
                <w:sz w:val="16"/>
              </w:rPr>
              <w:t>Rate limiting</w:t>
            </w:r>
          </w:p>
        </w:tc>
        <w:tc>
          <w:tcPr>
            <w:tcW w:type="dxa" w:w="7560"/>
            <w:shd w:fill="F8FAFC"/>
            <w:tcMar>
              <w:top w:w="70" w:type="dxa"/>
              <w:start w:w="90" w:type="dxa"/>
              <w:bottom w:w="70" w:type="dxa"/>
              <w:end w:w="90" w:type="dxa"/>
            </w:tcMar>
          </w:tcPr>
          <w:p>
            <w:pPr>
              <w:spacing w:after="0"/>
            </w:pPr>
            <w:r>
              <w:rPr>
                <w:color w:val="1F2937"/>
                <w:sz w:val="16"/>
              </w:rPr>
              <w:t>Apply per-user, per-tenant, and provider-aware limits to prevent abuse and protect Chatwoot.</w:t>
            </w:r>
          </w:p>
        </w:tc>
      </w:tr>
      <w:tr>
        <w:trPr>
          <w:cantSplit/>
        </w:trPr>
        <w:tc>
          <w:tcPr>
            <w:tcW w:type="dxa" w:w="2088"/>
            <w:tcMar>
              <w:top w:w="70" w:type="dxa"/>
              <w:start w:w="90" w:type="dxa"/>
              <w:bottom w:w="70" w:type="dxa"/>
              <w:end w:w="90" w:type="dxa"/>
            </w:tcMar>
          </w:tcPr>
          <w:p>
            <w:pPr>
              <w:spacing w:after="0"/>
            </w:pPr>
            <w:r>
              <w:rPr>
                <w:color w:val="1F2937"/>
                <w:sz w:val="16"/>
              </w:rPr>
              <w:t>Auditability</w:t>
            </w:r>
          </w:p>
        </w:tc>
        <w:tc>
          <w:tcPr>
            <w:tcW w:type="dxa" w:w="7560"/>
            <w:tcMar>
              <w:top w:w="70" w:type="dxa"/>
              <w:start w:w="90" w:type="dxa"/>
              <w:bottom w:w="70" w:type="dxa"/>
              <w:end w:w="90" w:type="dxa"/>
            </w:tcMar>
          </w:tcPr>
          <w:p>
            <w:pPr>
              <w:spacing w:after="0"/>
            </w:pPr>
            <w:r>
              <w:rPr>
                <w:color w:val="1F2937"/>
                <w:sz w:val="16"/>
              </w:rPr>
              <w:t>Record product user, tenant, operation, provider object, outcome, and correlation ID for sensitive actions.</w:t>
            </w:r>
          </w:p>
        </w:tc>
      </w:tr>
      <w:tr>
        <w:trPr>
          <w:cantSplit/>
        </w:trPr>
        <w:tc>
          <w:tcPr>
            <w:tcW w:type="dxa" w:w="2088"/>
            <w:shd w:fill="F8FAFC"/>
            <w:tcMar>
              <w:top w:w="70" w:type="dxa"/>
              <w:start w:w="90" w:type="dxa"/>
              <w:bottom w:w="70" w:type="dxa"/>
              <w:end w:w="90" w:type="dxa"/>
            </w:tcMar>
          </w:tcPr>
          <w:p>
            <w:pPr>
              <w:spacing w:after="0"/>
            </w:pPr>
            <w:r>
              <w:rPr>
                <w:color w:val="1F2937"/>
                <w:sz w:val="16"/>
              </w:rPr>
              <w:t>Network controls</w:t>
            </w:r>
          </w:p>
        </w:tc>
        <w:tc>
          <w:tcPr>
            <w:tcW w:type="dxa" w:w="7560"/>
            <w:shd w:fill="F8FAFC"/>
            <w:tcMar>
              <w:top w:w="70" w:type="dxa"/>
              <w:start w:w="90" w:type="dxa"/>
              <w:bottom w:w="70" w:type="dxa"/>
              <w:end w:w="90" w:type="dxa"/>
            </w:tcMar>
          </w:tcPr>
          <w:p>
            <w:pPr>
              <w:spacing w:after="0"/>
            </w:pPr>
            <w:r>
              <w:rPr>
                <w:color w:val="1F2937"/>
                <w:sz w:val="16"/>
              </w:rPr>
              <w:t>Keep Chatwoot private where practical and allow only approved ingress and egress paths.</w:t>
            </w:r>
          </w:p>
        </w:tc>
      </w:tr>
      <w:tr>
        <w:trPr>
          <w:cantSplit/>
        </w:trPr>
        <w:tc>
          <w:tcPr>
            <w:tcW w:type="dxa" w:w="2088"/>
            <w:tcMar>
              <w:top w:w="70" w:type="dxa"/>
              <w:start w:w="90" w:type="dxa"/>
              <w:bottom w:w="70" w:type="dxa"/>
              <w:end w:w="90" w:type="dxa"/>
            </w:tcMar>
          </w:tcPr>
          <w:p>
            <w:pPr>
              <w:spacing w:after="0"/>
            </w:pPr>
            <w:r>
              <w:rPr>
                <w:color w:val="1F2937"/>
                <w:sz w:val="16"/>
              </w:rPr>
              <w:t>Data retention</w:t>
            </w:r>
          </w:p>
        </w:tc>
        <w:tc>
          <w:tcPr>
            <w:tcW w:type="dxa" w:w="7560"/>
            <w:tcMar>
              <w:top w:w="70" w:type="dxa"/>
              <w:start w:w="90" w:type="dxa"/>
              <w:bottom w:w="70" w:type="dxa"/>
              <w:end w:w="90" w:type="dxa"/>
            </w:tcMar>
          </w:tcPr>
          <w:p>
            <w:pPr>
              <w:spacing w:after="0"/>
            </w:pPr>
            <w:r>
              <w:rPr>
                <w:color w:val="1F2937"/>
                <w:sz w:val="16"/>
              </w:rPr>
              <w:t>Align Chatwoot messages and attachments with product retention, legal hold, deletion, and backup policies.</w:t>
            </w:r>
          </w:p>
        </w:tc>
      </w:tr>
      <w:tr>
        <w:trPr>
          <w:cantSplit/>
        </w:trPr>
        <w:tc>
          <w:tcPr>
            <w:tcW w:type="dxa" w:w="2088"/>
            <w:shd w:fill="F8FAFC"/>
            <w:tcMar>
              <w:top w:w="70" w:type="dxa"/>
              <w:start w:w="90" w:type="dxa"/>
              <w:bottom w:w="70" w:type="dxa"/>
              <w:end w:w="90" w:type="dxa"/>
            </w:tcMar>
          </w:tcPr>
          <w:p>
            <w:pPr>
              <w:spacing w:after="0"/>
            </w:pPr>
            <w:r>
              <w:rPr>
                <w:color w:val="1F2937"/>
                <w:sz w:val="16"/>
              </w:rPr>
              <w:t>Patch management</w:t>
            </w:r>
          </w:p>
        </w:tc>
        <w:tc>
          <w:tcPr>
            <w:tcW w:type="dxa" w:w="7560"/>
            <w:shd w:fill="F8FAFC"/>
            <w:tcMar>
              <w:top w:w="70" w:type="dxa"/>
              <w:start w:w="90" w:type="dxa"/>
              <w:bottom w:w="70" w:type="dxa"/>
              <w:end w:w="90" w:type="dxa"/>
            </w:tcMar>
          </w:tcPr>
          <w:p>
            <w:pPr>
              <w:spacing w:after="0"/>
            </w:pPr>
            <w:r>
              <w:rPr>
                <w:color w:val="1F2937"/>
                <w:sz w:val="16"/>
              </w:rPr>
              <w:t>Track Chatwoot releases and security advisories; test and deploy supported updates promptly.</w:t>
            </w:r>
          </w:p>
        </w:tc>
      </w:tr>
    </w:tbl>
    <w:p>
      <w:pPr>
        <w:pStyle w:val="Heading2"/>
        <w:keepNext/>
        <w:keepLines/>
        <w:widowControl/>
      </w:pPr>
      <w:r>
        <w:t>15.2 Cross-tenant tests</w:t>
      </w:r>
    </w:p>
    <w:p>
      <w:pPr>
        <w:pStyle w:val="ListBullet"/>
        <w:spacing w:after="40"/>
        <w:widowControl/>
      </w:pPr>
      <w:r>
        <w:t>Attempt to substitute another tenant’s provider_account_id or conversation ID.</w:t>
      </w:r>
    </w:p>
    <w:p>
      <w:pPr>
        <w:pStyle w:val="ListBullet"/>
        <w:spacing w:after="40"/>
        <w:widowControl/>
      </w:pPr>
      <w:r>
        <w:t>Attempt attachment download using a valid URL from another tenant.</w:t>
      </w:r>
    </w:p>
    <w:p>
      <w:pPr>
        <w:pStyle w:val="ListBullet"/>
        <w:spacing w:after="40"/>
        <w:widowControl/>
      </w:pPr>
      <w:r>
        <w:t>Attempt to use an agent token belonging to another account.</w:t>
      </w:r>
    </w:p>
    <w:p>
      <w:pPr>
        <w:pStyle w:val="ListBullet"/>
        <w:spacing w:after="40"/>
        <w:widowControl/>
      </w:pPr>
      <w:r>
        <w:t>Attempt to replay a webhook delivery.</w:t>
      </w:r>
    </w:p>
    <w:p>
      <w:pPr>
        <w:pStyle w:val="ListBullet"/>
        <w:spacing w:after="40"/>
        <w:widowControl/>
      </w:pPr>
      <w:r>
        <w:t>Attempt to create a provider mapping with mismatched account and inbox ownership.</w:t>
      </w:r>
    </w:p>
    <w:p>
      <w:pPr>
        <w:pStyle w:val="ListBullet"/>
        <w:spacing w:after="40"/>
        <w:widowControl/>
      </w:pPr>
      <w:r>
        <w:t>Attempt search and pagination parameters designed to escape the tenant filter.</w:t>
      </w:r>
    </w:p>
    <w:p>
      <w:pPr>
        <w:pStyle w:val="Heading1"/>
        <w:keepNext/>
        <w:keepLines/>
        <w:widowControl/>
      </w:pPr>
      <w:r>
        <w:t>16. Repository and Service Layout</w:t>
      </w:r>
    </w:p>
    <w:tbl>
      <w:tblPr>
        <w:tblW w:type="auto" w:w="0"/>
        <w:jc w:val="center"/>
        <w:tblLayout w:type="autofit"/>
        <w:tblLook w:firstColumn="1" w:firstRow="1" w:lastColumn="0" w:lastRow="0" w:noHBand="0" w:noVBand="1" w:val="04A0"/>
      </w:tblPr>
      <w:tblGrid>
        <w:gridCol w:w="10080"/>
      </w:tblGrid>
      <w:tr>
        <w:tc>
          <w:tcPr>
            <w:tcW w:type="dxa" w:w="10080"/>
            <w:shd w:fill="F7F8FA"/>
            <w:tcBorders>
              <w:top w:val="single" w:sz="4" w:color="D0D7DE"/>
              <w:left w:val="single" w:sz="4" w:color="D0D7DE"/>
              <w:bottom w:val="single" w:sz="4" w:color="D0D7DE"/>
              <w:right w:val="single" w:sz="4" w:color="D0D7DE"/>
            </w:tcBorders>
            <w:tcMar>
              <w:top w:w="100" w:type="dxa"/>
              <w:start w:w="140" w:type="dxa"/>
              <w:bottom w:w="100" w:type="dxa"/>
              <w:end w:w="140" w:type="dxa"/>
            </w:tcMar>
          </w:tcPr>
          <w:p>
            <w:pPr>
              <w:spacing w:after="0"/>
            </w:pPr>
            <w:r>
              <w:rPr>
                <w:rFonts w:ascii="Liberation Mono" w:hAnsi="Liberation Mono" w:eastAsia="Liberation Mono"/>
                <w:color w:val="1F2937"/>
                <w:sz w:val="17"/>
              </w:rPr>
              <w:t>apps/</w:t>
              <w:br/>
              <w:t xml:space="preserve">  web/                         Next.js application</w:t>
              <w:br/>
              <w:br/>
              <w:t>services/</w:t>
              <w:br/>
              <w:t xml:space="preserve">  support-gateway/             Node.js / NestJS / Fastify service</w:t>
              <w:br/>
              <w:t xml:space="preserve">    src/</w:t>
              <w:br/>
              <w:t xml:space="preserve">      domain/                  provider-neutral models and policies</w:t>
              <w:br/>
              <w:t xml:space="preserve">      providers/chatwoot/      API client, mapper, error translation</w:t>
              <w:br/>
              <w:t xml:space="preserve">      auth/                    token lookup and access checks</w:t>
              <w:br/>
              <w:t xml:space="preserve">      provisioning/            Platform API workflows</w:t>
              <w:br/>
              <w:t xml:space="preserve">      webhooks/                verification and event ingestion</w:t>
              <w:br/>
              <w:t xml:space="preserve">      reconciliation/          drift detection and repair</w:t>
              <w:br/>
              <w:t xml:space="preserve">      realtime/                SSE / WebSocket publication</w:t>
              <w:br/>
              <w:br/>
              <w:t>packages/</w:t>
              <w:br/>
              <w:t xml:space="preserve">  support-contracts/           shared DTOs and validation schemas</w:t>
              <w:br/>
              <w:t xml:space="preserve">  support-client/              typed client used by Next.js</w:t>
              <w:br/>
              <w:br/>
              <w:t>infra/</w:t>
              <w:br/>
              <w:t xml:space="preserve">  chatwoot/                    deployment manifests and environment</w:t>
              <w:br/>
              <w:t xml:space="preserve">  observability/               dashboards and alerts</w:t>
              <w:br/>
              <w:br/>
              <w:t>chatwoot-overlay/              create only if patches are necessary</w:t>
            </w:r>
          </w:p>
        </w:tc>
      </w:tr>
    </w:tbl>
    <w:p>
      <w:pPr>
        <w:pStyle w:val="Heading2"/>
        <w:keepNext/>
        <w:keepLines/>
        <w:widowControl/>
      </w:pPr>
      <w:r>
        <w:t>16.1 Suggested internal modules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65D"/>
            <w:tcMar>
              <w:top w:w="75" w:type="dxa"/>
              <w:start w:w="90" w:type="dxa"/>
              <w:bottom w:w="75" w:type="dxa"/>
              <w:end w:w="90" w:type="dxa"/>
            </w:tcMar>
          </w:tcPr>
          <w:p>
            <w:pPr>
              <w:jc w:val="left"/>
            </w:pPr>
            <w:r>
              <w:rPr>
                <w:b/>
                <w:color w:val="FFFFFF"/>
                <w:sz w:val="16"/>
              </w:rPr>
              <w:t>Module</w:t>
            </w:r>
          </w:p>
        </w:tc>
        <w:tc>
          <w:tcPr>
            <w:tcW w:type="dxa" w:w="6768"/>
            <w:shd w:fill="17365D"/>
            <w:tcMar>
              <w:top w:w="75" w:type="dxa"/>
              <w:start w:w="90" w:type="dxa"/>
              <w:bottom w:w="75" w:type="dxa"/>
              <w:end w:w="90" w:type="dxa"/>
            </w:tcMar>
          </w:tcPr>
          <w:p>
            <w:pPr>
              <w:jc w:val="left"/>
            </w:pPr>
            <w:r>
              <w:rPr>
                <w:b/>
                <w:color w:val="FFFFFF"/>
                <w:sz w:val="16"/>
              </w:rPr>
              <w:t>Responsibilities</w:t>
            </w:r>
          </w:p>
        </w:tc>
      </w:tr>
      <w:tr>
        <w:trPr>
          <w:cantSplit/>
        </w:trPr>
        <w:tc>
          <w:tcPr>
            <w:tcW w:type="dxa" w:w="2880"/>
            <w:tcMar>
              <w:top w:w="70" w:type="dxa"/>
              <w:start w:w="90" w:type="dxa"/>
              <w:bottom w:w="70" w:type="dxa"/>
              <w:end w:w="90" w:type="dxa"/>
            </w:tcMar>
          </w:tcPr>
          <w:p>
            <w:pPr>
              <w:spacing w:after="0"/>
            </w:pPr>
            <w:r>
              <w:rPr>
                <w:color w:val="1F2937"/>
                <w:sz w:val="16"/>
              </w:rPr>
              <w:t>ChatwootClient</w:t>
            </w:r>
          </w:p>
        </w:tc>
        <w:tc>
          <w:tcPr>
            <w:tcW w:type="dxa" w:w="6768"/>
            <w:tcMar>
              <w:top w:w="70" w:type="dxa"/>
              <w:start w:w="90" w:type="dxa"/>
              <w:bottom w:w="70" w:type="dxa"/>
              <w:end w:w="90" w:type="dxa"/>
            </w:tcMar>
          </w:tcPr>
          <w:p>
            <w:pPr>
              <w:spacing w:after="0"/>
            </w:pPr>
            <w:r>
              <w:rPr>
                <w:color w:val="1F2937"/>
                <w:sz w:val="16"/>
              </w:rPr>
              <w:t>HTTP transport, retries, timeouts, authentication headers, and low-level API calls.</w:t>
            </w:r>
          </w:p>
        </w:tc>
      </w:tr>
      <w:tr>
        <w:trPr>
          <w:cantSplit/>
        </w:trPr>
        <w:tc>
          <w:tcPr>
            <w:tcW w:type="dxa" w:w="2880"/>
            <w:shd w:fill="F8FAFC"/>
            <w:tcMar>
              <w:top w:w="70" w:type="dxa"/>
              <w:start w:w="90" w:type="dxa"/>
              <w:bottom w:w="70" w:type="dxa"/>
              <w:end w:w="90" w:type="dxa"/>
            </w:tcMar>
          </w:tcPr>
          <w:p>
            <w:pPr>
              <w:spacing w:after="0"/>
            </w:pPr>
            <w:r>
              <w:rPr>
                <w:color w:val="1F2937"/>
                <w:sz w:val="16"/>
              </w:rPr>
              <w:t>ChatwootMapper</w:t>
            </w:r>
          </w:p>
        </w:tc>
        <w:tc>
          <w:tcPr>
            <w:tcW w:type="dxa" w:w="6768"/>
            <w:shd w:fill="F8FAFC"/>
            <w:tcMar>
              <w:top w:w="70" w:type="dxa"/>
              <w:start w:w="90" w:type="dxa"/>
              <w:bottom w:w="70" w:type="dxa"/>
              <w:end w:w="90" w:type="dxa"/>
            </w:tcMar>
          </w:tcPr>
          <w:p>
            <w:pPr>
              <w:spacing w:after="0"/>
            </w:pPr>
            <w:r>
              <w:rPr>
                <w:color w:val="1F2937"/>
                <w:sz w:val="16"/>
              </w:rPr>
              <w:t>Transforms Chatwoot responses into product DTOs and vice versa.</w:t>
            </w:r>
          </w:p>
        </w:tc>
      </w:tr>
      <w:tr>
        <w:trPr>
          <w:cantSplit/>
        </w:trPr>
        <w:tc>
          <w:tcPr>
            <w:tcW w:type="dxa" w:w="2880"/>
            <w:tcMar>
              <w:top w:w="70" w:type="dxa"/>
              <w:start w:w="90" w:type="dxa"/>
              <w:bottom w:w="70" w:type="dxa"/>
              <w:end w:w="90" w:type="dxa"/>
            </w:tcMar>
          </w:tcPr>
          <w:p>
            <w:pPr>
              <w:spacing w:after="0"/>
            </w:pPr>
            <w:r>
              <w:rPr>
                <w:color w:val="1F2937"/>
                <w:sz w:val="16"/>
              </w:rPr>
              <w:t>SupportAuthorizationService</w:t>
            </w:r>
          </w:p>
        </w:tc>
        <w:tc>
          <w:tcPr>
            <w:tcW w:type="dxa" w:w="6768"/>
            <w:tcMar>
              <w:top w:w="70" w:type="dxa"/>
              <w:start w:w="90" w:type="dxa"/>
              <w:bottom w:w="70" w:type="dxa"/>
              <w:end w:w="90" w:type="dxa"/>
            </w:tcMar>
          </w:tcPr>
          <w:p>
            <w:pPr>
              <w:spacing w:after="0"/>
            </w:pPr>
            <w:r>
              <w:rPr>
                <w:color w:val="1F2937"/>
                <w:sz w:val="16"/>
              </w:rPr>
              <w:t>Tenant and role checks independent of provider behavior.</w:t>
            </w:r>
          </w:p>
        </w:tc>
      </w:tr>
      <w:tr>
        <w:trPr>
          <w:cantSplit/>
        </w:trPr>
        <w:tc>
          <w:tcPr>
            <w:tcW w:type="dxa" w:w="2880"/>
            <w:shd w:fill="F8FAFC"/>
            <w:tcMar>
              <w:top w:w="70" w:type="dxa"/>
              <w:start w:w="90" w:type="dxa"/>
              <w:bottom w:w="70" w:type="dxa"/>
              <w:end w:w="90" w:type="dxa"/>
            </w:tcMar>
          </w:tcPr>
          <w:p>
            <w:pPr>
              <w:spacing w:after="0"/>
            </w:pPr>
            <w:r>
              <w:rPr>
                <w:color w:val="1F2937"/>
                <w:sz w:val="16"/>
              </w:rPr>
              <w:t>ProviderIdentityService</w:t>
            </w:r>
          </w:p>
        </w:tc>
        <w:tc>
          <w:tcPr>
            <w:tcW w:type="dxa" w:w="6768"/>
            <w:shd w:fill="F8FAFC"/>
            <w:tcMar>
              <w:top w:w="70" w:type="dxa"/>
              <w:start w:w="90" w:type="dxa"/>
              <w:bottom w:w="70" w:type="dxa"/>
              <w:end w:w="90" w:type="dxa"/>
            </w:tcMar>
          </w:tcPr>
          <w:p>
            <w:pPr>
              <w:spacing w:after="0"/>
            </w:pPr>
            <w:r>
              <w:rPr>
                <w:color w:val="1F2937"/>
                <w:sz w:val="16"/>
              </w:rPr>
              <w:t>Provisioning, token retrieval, token rotation, and revocation.</w:t>
            </w:r>
          </w:p>
        </w:tc>
      </w:tr>
      <w:tr>
        <w:trPr>
          <w:cantSplit/>
        </w:trPr>
        <w:tc>
          <w:tcPr>
            <w:tcW w:type="dxa" w:w="2880"/>
            <w:tcMar>
              <w:top w:w="70" w:type="dxa"/>
              <w:start w:w="90" w:type="dxa"/>
              <w:bottom w:w="70" w:type="dxa"/>
              <w:end w:w="90" w:type="dxa"/>
            </w:tcMar>
          </w:tcPr>
          <w:p>
            <w:pPr>
              <w:spacing w:after="0"/>
            </w:pPr>
            <w:r>
              <w:rPr>
                <w:color w:val="1F2937"/>
                <w:sz w:val="16"/>
              </w:rPr>
              <w:t>WebhookVerifier</w:t>
            </w:r>
          </w:p>
        </w:tc>
        <w:tc>
          <w:tcPr>
            <w:tcW w:type="dxa" w:w="6768"/>
            <w:tcMar>
              <w:top w:w="70" w:type="dxa"/>
              <w:start w:w="90" w:type="dxa"/>
              <w:bottom w:w="70" w:type="dxa"/>
              <w:end w:w="90" w:type="dxa"/>
            </w:tcMar>
          </w:tcPr>
          <w:p>
            <w:pPr>
              <w:spacing w:after="0"/>
            </w:pPr>
            <w:r>
              <w:rPr>
                <w:color w:val="1F2937"/>
                <w:sz w:val="16"/>
              </w:rPr>
              <w:t>Raw-body signature validation and replay protection.</w:t>
            </w:r>
          </w:p>
        </w:tc>
      </w:tr>
      <w:tr>
        <w:trPr>
          <w:cantSplit/>
        </w:trPr>
        <w:tc>
          <w:tcPr>
            <w:tcW w:type="dxa" w:w="2880"/>
            <w:shd w:fill="F8FAFC"/>
            <w:tcMar>
              <w:top w:w="70" w:type="dxa"/>
              <w:start w:w="90" w:type="dxa"/>
              <w:bottom w:w="70" w:type="dxa"/>
              <w:end w:w="90" w:type="dxa"/>
            </w:tcMar>
          </w:tcPr>
          <w:p>
            <w:pPr>
              <w:spacing w:after="0"/>
            </w:pPr>
            <w:r>
              <w:rPr>
                <w:color w:val="1F2937"/>
                <w:sz w:val="16"/>
              </w:rPr>
              <w:t>WebhookProcessor</w:t>
            </w:r>
          </w:p>
        </w:tc>
        <w:tc>
          <w:tcPr>
            <w:tcW w:type="dxa" w:w="6768"/>
            <w:shd w:fill="F8FAFC"/>
            <w:tcMar>
              <w:top w:w="70" w:type="dxa"/>
              <w:start w:w="90" w:type="dxa"/>
              <w:bottom w:w="70" w:type="dxa"/>
              <w:end w:w="90" w:type="dxa"/>
            </w:tcMar>
          </w:tcPr>
          <w:p>
            <w:pPr>
              <w:spacing w:after="0"/>
            </w:pPr>
            <w:r>
              <w:rPr>
                <w:color w:val="1F2937"/>
                <w:sz w:val="16"/>
              </w:rPr>
              <w:t>Idempotent event processing and local read-model updates.</w:t>
            </w:r>
          </w:p>
        </w:tc>
      </w:tr>
      <w:tr>
        <w:trPr>
          <w:cantSplit/>
        </w:trPr>
        <w:tc>
          <w:tcPr>
            <w:tcW w:type="dxa" w:w="2880"/>
            <w:tcMar>
              <w:top w:w="70" w:type="dxa"/>
              <w:start w:w="90" w:type="dxa"/>
              <w:bottom w:w="70" w:type="dxa"/>
              <w:end w:w="90" w:type="dxa"/>
            </w:tcMar>
          </w:tcPr>
          <w:p>
            <w:pPr>
              <w:spacing w:after="0"/>
            </w:pPr>
            <w:r>
              <w:rPr>
                <w:color w:val="1F2937"/>
                <w:sz w:val="16"/>
              </w:rPr>
              <w:t>ReconciliationService</w:t>
            </w:r>
          </w:p>
        </w:tc>
        <w:tc>
          <w:tcPr>
            <w:tcW w:type="dxa" w:w="6768"/>
            <w:tcMar>
              <w:top w:w="70" w:type="dxa"/>
              <w:start w:w="90" w:type="dxa"/>
              <w:bottom w:w="70" w:type="dxa"/>
              <w:end w:w="90" w:type="dxa"/>
            </w:tcMar>
          </w:tcPr>
          <w:p>
            <w:pPr>
              <w:spacing w:after="0"/>
            </w:pPr>
            <w:r>
              <w:rPr>
                <w:color w:val="1F2937"/>
                <w:sz w:val="16"/>
              </w:rPr>
              <w:t>Periodic comparison and repair of provider state.</w:t>
            </w:r>
          </w:p>
        </w:tc>
      </w:tr>
      <w:tr>
        <w:trPr>
          <w:cantSplit/>
        </w:trPr>
        <w:tc>
          <w:tcPr>
            <w:tcW w:type="dxa" w:w="2880"/>
            <w:shd w:fill="F8FAFC"/>
            <w:tcMar>
              <w:top w:w="70" w:type="dxa"/>
              <w:start w:w="90" w:type="dxa"/>
              <w:bottom w:w="70" w:type="dxa"/>
              <w:end w:w="90" w:type="dxa"/>
            </w:tcMar>
          </w:tcPr>
          <w:p>
            <w:pPr>
              <w:spacing w:after="0"/>
            </w:pPr>
            <w:r>
              <w:rPr>
                <w:color w:val="1F2937"/>
                <w:sz w:val="16"/>
              </w:rPr>
              <w:t>SupportAuditService</w:t>
            </w:r>
          </w:p>
        </w:tc>
        <w:tc>
          <w:tcPr>
            <w:tcW w:type="dxa" w:w="6768"/>
            <w:shd w:fill="F8FAFC"/>
            <w:tcMar>
              <w:top w:w="70" w:type="dxa"/>
              <w:start w:w="90" w:type="dxa"/>
              <w:bottom w:w="70" w:type="dxa"/>
              <w:end w:w="90" w:type="dxa"/>
            </w:tcMar>
          </w:tcPr>
          <w:p>
            <w:pPr>
              <w:spacing w:after="0"/>
            </w:pPr>
            <w:r>
              <w:rPr>
                <w:color w:val="1F2937"/>
                <w:sz w:val="16"/>
              </w:rPr>
              <w:t>Product-owned audit records for sensitive actions.</w:t>
            </w:r>
          </w:p>
        </w:tc>
      </w:tr>
      <w:tr>
        <w:trPr>
          <w:cantSplit/>
        </w:trPr>
        <w:tc>
          <w:tcPr>
            <w:tcW w:type="dxa" w:w="2880"/>
            <w:tcMar>
              <w:top w:w="70" w:type="dxa"/>
              <w:start w:w="90" w:type="dxa"/>
              <w:bottom w:w="70" w:type="dxa"/>
              <w:end w:w="90" w:type="dxa"/>
            </w:tcMar>
          </w:tcPr>
          <w:p>
            <w:pPr>
              <w:spacing w:after="0"/>
            </w:pPr>
            <w:r>
              <w:rPr>
                <w:color w:val="1F2937"/>
                <w:sz w:val="16"/>
              </w:rPr>
              <w:t>SupportRealtimePublisher</w:t>
            </w:r>
          </w:p>
        </w:tc>
        <w:tc>
          <w:tcPr>
            <w:tcW w:type="dxa" w:w="6768"/>
            <w:tcMar>
              <w:top w:w="70" w:type="dxa"/>
              <w:start w:w="90" w:type="dxa"/>
              <w:bottom w:w="70" w:type="dxa"/>
              <w:end w:w="90" w:type="dxa"/>
            </w:tcMar>
          </w:tcPr>
          <w:p>
            <w:pPr>
              <w:spacing w:after="0"/>
            </w:pPr>
            <w:r>
              <w:rPr>
                <w:color w:val="1F2937"/>
                <w:sz w:val="16"/>
              </w:rPr>
              <w:t>SSE or WebSocket events for the Next.js UI.</w:t>
            </w:r>
          </w:p>
        </w:tc>
      </w:tr>
    </w:tbl>
    <w:p>
      <w:pPr>
        <w:pStyle w:val="Heading1"/>
        <w:keepNext/>
        <w:keepLines/>
        <w:widowControl/>
      </w:pPr>
      <w:r>
        <w:t>17. Implementation Plan</w:t>
      </w:r>
    </w:p>
    <w:p>
      <w:pPr>
        <w:pStyle w:val="Heading2"/>
        <w:keepNext/>
        <w:keepLines/>
        <w:widowControl/>
      </w:pPr>
      <w:r>
        <w:t>Phase 0 - Legal and technical baseline</w:t>
      </w:r>
    </w:p>
    <w:p>
      <w:pPr>
        <w:pStyle w:val="ListBullet"/>
        <w:spacing w:after="40"/>
        <w:widowControl/>
      </w:pPr>
      <w:r>
        <w:t>Approve the CE-only licensing boundary and third-party notice process.</w:t>
      </w:r>
    </w:p>
    <w:p>
      <w:pPr>
        <w:pStyle w:val="ListBullet"/>
        <w:spacing w:after="40"/>
        <w:widowControl/>
      </w:pPr>
      <w:r>
        <w:t>Select and pin a Chatwoot CE version.</w:t>
      </w:r>
    </w:p>
    <w:p>
      <w:pPr>
        <w:pStyle w:val="ListBullet"/>
        <w:spacing w:after="40"/>
        <w:widowControl/>
      </w:pPr>
      <w:r>
        <w:t>Create a threat model and data-classification decision for messages and attachments.</w:t>
      </w:r>
    </w:p>
    <w:p>
      <w:pPr>
        <w:pStyle w:val="ListBullet"/>
        <w:spacing w:after="40"/>
        <w:widowControl/>
      </w:pPr>
      <w:r>
        <w:t>Define tenant-to-account and user-to-agent mappings.</w:t>
      </w:r>
    </w:p>
    <w:p>
      <w:pPr>
        <w:pStyle w:val="Heading2"/>
        <w:keepNext/>
        <w:keepLines/>
        <w:widowControl/>
      </w:pPr>
      <w:r>
        <w:t>Phase 1 - Infrastructure proof of concept</w:t>
      </w:r>
    </w:p>
    <w:p>
      <w:pPr>
        <w:pStyle w:val="ListBullet"/>
        <w:spacing w:after="40"/>
        <w:widowControl/>
      </w:pPr>
      <w:r>
        <w:t>Deploy Chatwoot CE with PostgreSQL, Redis, workers, private storage, and internal administration access.</w:t>
      </w:r>
    </w:p>
    <w:p>
      <w:pPr>
        <w:pStyle w:val="ListBullet"/>
        <w:spacing w:after="40"/>
        <w:widowControl/>
      </w:pPr>
      <w:r>
        <w:t>Configure one email inbox and verify inbound/outbound delivery.</w:t>
      </w:r>
    </w:p>
    <w:p>
      <w:pPr>
        <w:pStyle w:val="ListBullet"/>
        <w:spacing w:after="40"/>
        <w:widowControl/>
      </w:pPr>
      <w:r>
        <w:t>Create a Platform App and provision one account and agent.</w:t>
      </w:r>
    </w:p>
    <w:p>
      <w:pPr>
        <w:pStyle w:val="ListBullet"/>
        <w:spacing w:after="40"/>
        <w:widowControl/>
      </w:pPr>
      <w:r>
        <w:t>Create the initial Node gateway and health checks.</w:t>
      </w:r>
    </w:p>
    <w:p>
      <w:pPr>
        <w:pStyle w:val="Heading2"/>
        <w:keepNext/>
        <w:keepLines/>
        <w:widowControl/>
      </w:pPr>
      <w:r>
        <w:t>Phase 2 - Read-only custom UI</w:t>
      </w:r>
    </w:p>
    <w:p>
      <w:pPr>
        <w:pStyle w:val="ListBullet"/>
        <w:spacing w:after="40"/>
        <w:widowControl/>
      </w:pPr>
      <w:r>
        <w:t>List conversations through the gateway.</w:t>
      </w:r>
    </w:p>
    <w:p>
      <w:pPr>
        <w:pStyle w:val="ListBullet"/>
        <w:spacing w:after="40"/>
        <w:widowControl/>
      </w:pPr>
      <w:r>
        <w:t>Display normalized conversation, contact, assignment, labels, and message history.</w:t>
      </w:r>
    </w:p>
    <w:p>
      <w:pPr>
        <w:pStyle w:val="ListBullet"/>
        <w:spacing w:after="40"/>
        <w:widowControl/>
      </w:pPr>
      <w:r>
        <w:t>Add local provider mappings and cross-link to product tickets.</w:t>
      </w:r>
    </w:p>
    <w:p>
      <w:pPr>
        <w:pStyle w:val="ListBullet"/>
        <w:spacing w:after="40"/>
        <w:widowControl/>
      </w:pPr>
      <w:r>
        <w:t>Implement webhook receipt, signature verification, and realtime UI refresh.</w:t>
      </w:r>
    </w:p>
    <w:p>
      <w:pPr>
        <w:pStyle w:val="Heading2"/>
        <w:keepNext/>
        <w:keepLines/>
        <w:widowControl/>
      </w:pPr>
      <w:r>
        <w:t>Phase 3 - Agent operations</w:t>
      </w:r>
    </w:p>
    <w:p>
      <w:pPr>
        <w:pStyle w:val="ListBullet"/>
        <w:spacing w:after="40"/>
        <w:widowControl/>
      </w:pPr>
      <w:r>
        <w:t>Send public replies and private notes.</w:t>
      </w:r>
    </w:p>
    <w:p>
      <w:pPr>
        <w:pStyle w:val="ListBullet"/>
        <w:spacing w:after="40"/>
        <w:widowControl/>
      </w:pPr>
      <w:r>
        <w:t>Upload and download attachments securely.</w:t>
      </w:r>
    </w:p>
    <w:p>
      <w:pPr>
        <w:pStyle w:val="ListBullet"/>
        <w:spacing w:after="40"/>
        <w:widowControl/>
      </w:pPr>
      <w:r>
        <w:t>Update status, assignment, labels, and priority.</w:t>
      </w:r>
    </w:p>
    <w:p>
      <w:pPr>
        <w:pStyle w:val="ListBullet"/>
        <w:spacing w:after="40"/>
        <w:widowControl/>
      </w:pPr>
      <w:r>
        <w:t>Introduce per-agent Chatwoot tokens and full product audit records.</w:t>
      </w:r>
    </w:p>
    <w:p>
      <w:pPr>
        <w:pStyle w:val="Heading2"/>
        <w:keepNext/>
        <w:keepLines/>
        <w:widowControl/>
      </w:pPr>
      <w:r>
        <w:t>Phase 4 - Production hardening</w:t>
      </w:r>
    </w:p>
    <w:p>
      <w:pPr>
        <w:pStyle w:val="ListBullet"/>
        <w:spacing w:after="40"/>
        <w:widowControl/>
      </w:pPr>
      <w:r>
        <w:t>Add reconciliation, idempotent write controls, rate limits, circuit breakers, and failure dashboards.</w:t>
      </w:r>
    </w:p>
    <w:p>
      <w:pPr>
        <w:pStyle w:val="ListBullet"/>
        <w:spacing w:after="40"/>
        <w:widowControl/>
      </w:pPr>
      <w:r>
        <w:t>Complete cross-tenant, content-security, attachment, load, and recovery testing.</w:t>
      </w:r>
    </w:p>
    <w:p>
      <w:pPr>
        <w:pStyle w:val="ListBullet"/>
        <w:spacing w:after="40"/>
        <w:widowControl/>
      </w:pPr>
      <w:r>
        <w:t>Document backup, restore, upgrade, rollback, and incident procedures.</w:t>
      </w:r>
    </w:p>
    <w:p>
      <w:pPr>
        <w:pStyle w:val="ListBullet"/>
        <w:spacing w:after="40"/>
        <w:widowControl/>
      </w:pPr>
      <w:r>
        <w:t>Implement product-native substitutes for any required enterprise-only capability.</w:t>
      </w:r>
    </w:p>
    <w:p>
      <w:pPr>
        <w:pStyle w:val="Heading2"/>
        <w:keepNext/>
        <w:keepLines/>
        <w:widowControl/>
      </w:pPr>
      <w:r>
        <w:t>Phase 5 - Optional channel expansion</w:t>
      </w:r>
    </w:p>
    <w:p>
      <w:pPr>
        <w:pStyle w:val="ListBullet"/>
        <w:spacing w:after="40"/>
        <w:widowControl/>
      </w:pPr>
      <w:r>
        <w:t>Expose a custom customer chat interface through Client APIs.</w:t>
      </w:r>
    </w:p>
    <w:p>
      <w:pPr>
        <w:pStyle w:val="ListBullet"/>
        <w:spacing w:after="40"/>
        <w:widowControl/>
      </w:pPr>
      <w:r>
        <w:t>Add supported messaging channels only after email operations are stable.</w:t>
      </w:r>
    </w:p>
    <w:p>
      <w:pPr>
        <w:pStyle w:val="ListBullet"/>
        <w:spacing w:after="40"/>
        <w:widowControl/>
      </w:pPr>
      <w:r>
        <w:t>Evaluate whether any paid Chatwoot feature is economically preferable to independent implementation.</w:t>
      </w:r>
    </w:p>
    <w:p>
      <w:pPr>
        <w:pStyle w:val="Heading1"/>
        <w:keepNext/>
        <w:keepLines/>
        <w:widowControl/>
      </w:pPr>
      <w:r>
        <w:t>18. Test and Acceptance Plan</w:t>
      </w:r>
    </w:p>
    <w:p>
      <w:pPr>
        <w:pStyle w:val="Heading2"/>
        <w:keepNext/>
        <w:keepLines/>
        <w:widowControl/>
      </w:pPr>
      <w:r>
        <w:t>18.1 Functional acceptance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960"/>
            <w:shd w:fill="17365D"/>
            <w:tcMar>
              <w:top w:w="75" w:type="dxa"/>
              <w:start w:w="90" w:type="dxa"/>
              <w:bottom w:w="75" w:type="dxa"/>
              <w:end w:w="90" w:type="dxa"/>
            </w:tcMar>
          </w:tcPr>
          <w:p>
            <w:pPr>
              <w:jc w:val="left"/>
            </w:pPr>
            <w:r>
              <w:rPr>
                <w:b/>
                <w:color w:val="FFFFFF"/>
                <w:sz w:val="16"/>
              </w:rPr>
              <w:t>Test</w:t>
            </w:r>
          </w:p>
        </w:tc>
        <w:tc>
          <w:tcPr>
            <w:tcW w:type="dxa" w:w="5688"/>
            <w:shd w:fill="17365D"/>
            <w:tcMar>
              <w:top w:w="75" w:type="dxa"/>
              <w:start w:w="90" w:type="dxa"/>
              <w:bottom w:w="75" w:type="dxa"/>
              <w:end w:w="90" w:type="dxa"/>
            </w:tcMar>
          </w:tcPr>
          <w:p>
            <w:pPr>
              <w:jc w:val="left"/>
            </w:pPr>
            <w:r>
              <w:rPr>
                <w:b/>
                <w:color w:val="FFFFFF"/>
                <w:sz w:val="16"/>
              </w:rPr>
              <w:t>Acceptance criterion</w:t>
            </w:r>
          </w:p>
        </w:tc>
      </w:tr>
      <w:tr>
        <w:trPr>
          <w:cantSplit/>
        </w:trPr>
        <w:tc>
          <w:tcPr>
            <w:tcW w:type="dxa" w:w="3960"/>
            <w:tcMar>
              <w:top w:w="70" w:type="dxa"/>
              <w:start w:w="90" w:type="dxa"/>
              <w:bottom w:w="70" w:type="dxa"/>
              <w:end w:w="90" w:type="dxa"/>
            </w:tcMar>
          </w:tcPr>
          <w:p>
            <w:pPr>
              <w:spacing w:after="0"/>
            </w:pPr>
            <w:r>
              <w:rPr>
                <w:color w:val="1F2937"/>
                <w:sz w:val="16"/>
              </w:rPr>
              <w:t>Inbound email creates or updates the correct conversation</w:t>
            </w:r>
          </w:p>
        </w:tc>
        <w:tc>
          <w:tcPr>
            <w:tcW w:type="dxa" w:w="5688"/>
            <w:tcMar>
              <w:top w:w="70" w:type="dxa"/>
              <w:start w:w="90" w:type="dxa"/>
              <w:bottom w:w="70" w:type="dxa"/>
              <w:end w:w="90" w:type="dxa"/>
            </w:tcMar>
          </w:tcPr>
          <w:p>
            <w:pPr>
              <w:spacing w:after="0"/>
            </w:pPr>
            <w:r>
              <w:rPr>
                <w:color w:val="1F2937"/>
                <w:sz w:val="16"/>
              </w:rPr>
              <w:t>Message and thread are visible in the custom UI without using the Chatwoot dashboard.</w:t>
            </w:r>
          </w:p>
        </w:tc>
      </w:tr>
      <w:tr>
        <w:trPr>
          <w:cantSplit/>
        </w:trPr>
        <w:tc>
          <w:tcPr>
            <w:tcW w:type="dxa" w:w="3960"/>
            <w:shd w:fill="F8FAFC"/>
            <w:tcMar>
              <w:top w:w="70" w:type="dxa"/>
              <w:start w:w="90" w:type="dxa"/>
              <w:bottom w:w="70" w:type="dxa"/>
              <w:end w:w="90" w:type="dxa"/>
            </w:tcMar>
          </w:tcPr>
          <w:p>
            <w:pPr>
              <w:spacing w:after="0"/>
            </w:pPr>
            <w:r>
              <w:rPr>
                <w:color w:val="1F2937"/>
                <w:sz w:val="16"/>
              </w:rPr>
              <w:t>Agent reply from custom UI sends successfully</w:t>
            </w:r>
          </w:p>
        </w:tc>
        <w:tc>
          <w:tcPr>
            <w:tcW w:type="dxa" w:w="5688"/>
            <w:shd w:fill="F8FAFC"/>
            <w:tcMar>
              <w:top w:w="70" w:type="dxa"/>
              <w:start w:w="90" w:type="dxa"/>
              <w:bottom w:w="70" w:type="dxa"/>
              <w:end w:w="90" w:type="dxa"/>
            </w:tcMar>
          </w:tcPr>
          <w:p>
            <w:pPr>
              <w:spacing w:after="0"/>
            </w:pPr>
            <w:r>
              <w:rPr>
                <w:color w:val="1F2937"/>
                <w:sz w:val="16"/>
              </w:rPr>
              <w:t>Recipient receives the email and provider delivery state is reflected.</w:t>
            </w:r>
          </w:p>
        </w:tc>
      </w:tr>
      <w:tr>
        <w:trPr>
          <w:cantSplit/>
        </w:trPr>
        <w:tc>
          <w:tcPr>
            <w:tcW w:type="dxa" w:w="3960"/>
            <w:tcMar>
              <w:top w:w="70" w:type="dxa"/>
              <w:start w:w="90" w:type="dxa"/>
              <w:bottom w:w="70" w:type="dxa"/>
              <w:end w:w="90" w:type="dxa"/>
            </w:tcMar>
          </w:tcPr>
          <w:p>
            <w:pPr>
              <w:spacing w:after="0"/>
            </w:pPr>
            <w:r>
              <w:rPr>
                <w:color w:val="1F2937"/>
                <w:sz w:val="16"/>
              </w:rPr>
              <w:t>Inbound reply threads correctly</w:t>
            </w:r>
          </w:p>
        </w:tc>
        <w:tc>
          <w:tcPr>
            <w:tcW w:type="dxa" w:w="5688"/>
            <w:tcMar>
              <w:top w:w="70" w:type="dxa"/>
              <w:start w:w="90" w:type="dxa"/>
              <w:bottom w:w="70" w:type="dxa"/>
              <w:end w:w="90" w:type="dxa"/>
            </w:tcMar>
          </w:tcPr>
          <w:p>
            <w:pPr>
              <w:spacing w:after="0"/>
            </w:pPr>
            <w:r>
              <w:rPr>
                <w:color w:val="1F2937"/>
                <w:sz w:val="16"/>
              </w:rPr>
              <w:t>No duplicate conversation is created for a valid reply chain.</w:t>
            </w:r>
          </w:p>
        </w:tc>
      </w:tr>
      <w:tr>
        <w:trPr>
          <w:cantSplit/>
        </w:trPr>
        <w:tc>
          <w:tcPr>
            <w:tcW w:type="dxa" w:w="3960"/>
            <w:shd w:fill="F8FAFC"/>
            <w:tcMar>
              <w:top w:w="70" w:type="dxa"/>
              <w:start w:w="90" w:type="dxa"/>
              <w:bottom w:w="70" w:type="dxa"/>
              <w:end w:w="90" w:type="dxa"/>
            </w:tcMar>
          </w:tcPr>
          <w:p>
            <w:pPr>
              <w:spacing w:after="0"/>
            </w:pPr>
            <w:r>
              <w:rPr>
                <w:color w:val="1F2937"/>
                <w:sz w:val="16"/>
              </w:rPr>
              <w:t>Attachments work in both directions</w:t>
            </w:r>
          </w:p>
        </w:tc>
        <w:tc>
          <w:tcPr>
            <w:tcW w:type="dxa" w:w="5688"/>
            <w:shd w:fill="F8FAFC"/>
            <w:tcMar>
              <w:top w:w="70" w:type="dxa"/>
              <w:start w:w="90" w:type="dxa"/>
              <w:bottom w:w="70" w:type="dxa"/>
              <w:end w:w="90" w:type="dxa"/>
            </w:tcMar>
          </w:tcPr>
          <w:p>
            <w:pPr>
              <w:spacing w:after="0"/>
            </w:pPr>
            <w:r>
              <w:rPr>
                <w:color w:val="1F2937"/>
                <w:sz w:val="16"/>
              </w:rPr>
              <w:t>Upload, storage, retrieval, authorization, and malware controls pass.</w:t>
            </w:r>
          </w:p>
        </w:tc>
      </w:tr>
      <w:tr>
        <w:trPr>
          <w:cantSplit/>
        </w:trPr>
        <w:tc>
          <w:tcPr>
            <w:tcW w:type="dxa" w:w="3960"/>
            <w:tcMar>
              <w:top w:w="70" w:type="dxa"/>
              <w:start w:w="90" w:type="dxa"/>
              <w:bottom w:w="70" w:type="dxa"/>
              <w:end w:w="90" w:type="dxa"/>
            </w:tcMar>
          </w:tcPr>
          <w:p>
            <w:pPr>
              <w:spacing w:after="0"/>
            </w:pPr>
            <w:r>
              <w:rPr>
                <w:color w:val="1F2937"/>
                <w:sz w:val="16"/>
              </w:rPr>
              <w:t>Assignment, status, labels, and priority update</w:t>
            </w:r>
          </w:p>
        </w:tc>
        <w:tc>
          <w:tcPr>
            <w:tcW w:type="dxa" w:w="5688"/>
            <w:tcMar>
              <w:top w:w="70" w:type="dxa"/>
              <w:start w:w="90" w:type="dxa"/>
              <w:bottom w:w="70" w:type="dxa"/>
              <w:end w:w="90" w:type="dxa"/>
            </w:tcMar>
          </w:tcPr>
          <w:p>
            <w:pPr>
              <w:spacing w:after="0"/>
            </w:pPr>
            <w:r>
              <w:rPr>
                <w:color w:val="1F2937"/>
                <w:sz w:val="16"/>
              </w:rPr>
              <w:t>Custom UI and Chatwoot state converge.</w:t>
            </w:r>
          </w:p>
        </w:tc>
      </w:tr>
      <w:tr>
        <w:trPr>
          <w:cantSplit/>
        </w:trPr>
        <w:tc>
          <w:tcPr>
            <w:tcW w:type="dxa" w:w="3960"/>
            <w:shd w:fill="F8FAFC"/>
            <w:tcMar>
              <w:top w:w="70" w:type="dxa"/>
              <w:start w:w="90" w:type="dxa"/>
              <w:bottom w:w="70" w:type="dxa"/>
              <w:end w:w="90" w:type="dxa"/>
            </w:tcMar>
          </w:tcPr>
          <w:p>
            <w:pPr>
              <w:spacing w:after="0"/>
            </w:pPr>
            <w:r>
              <w:rPr>
                <w:color w:val="1F2937"/>
                <w:sz w:val="16"/>
              </w:rPr>
              <w:t>Private note remains internal</w:t>
            </w:r>
          </w:p>
        </w:tc>
        <w:tc>
          <w:tcPr>
            <w:tcW w:type="dxa" w:w="5688"/>
            <w:shd w:fill="F8FAFC"/>
            <w:tcMar>
              <w:top w:w="70" w:type="dxa"/>
              <w:start w:w="90" w:type="dxa"/>
              <w:bottom w:w="70" w:type="dxa"/>
              <w:end w:w="90" w:type="dxa"/>
            </w:tcMar>
          </w:tcPr>
          <w:p>
            <w:pPr>
              <w:spacing w:after="0"/>
            </w:pPr>
            <w:r>
              <w:rPr>
                <w:color w:val="1F2937"/>
                <w:sz w:val="16"/>
              </w:rPr>
              <w:t>It is visible to authorized agents and is not delivered externally.</w:t>
            </w:r>
          </w:p>
        </w:tc>
      </w:tr>
      <w:tr>
        <w:trPr>
          <w:cantSplit/>
        </w:trPr>
        <w:tc>
          <w:tcPr>
            <w:tcW w:type="dxa" w:w="3960"/>
            <w:tcMar>
              <w:top w:w="70" w:type="dxa"/>
              <w:start w:w="90" w:type="dxa"/>
              <w:bottom w:w="70" w:type="dxa"/>
              <w:end w:w="90" w:type="dxa"/>
            </w:tcMar>
          </w:tcPr>
          <w:p>
            <w:pPr>
              <w:spacing w:after="0"/>
            </w:pPr>
            <w:r>
              <w:rPr>
                <w:color w:val="1F2937"/>
                <w:sz w:val="16"/>
              </w:rPr>
              <w:t>Ticket linkage persists</w:t>
            </w:r>
          </w:p>
        </w:tc>
        <w:tc>
          <w:tcPr>
            <w:tcW w:type="dxa" w:w="5688"/>
            <w:tcMar>
              <w:top w:w="70" w:type="dxa"/>
              <w:start w:w="90" w:type="dxa"/>
              <w:bottom w:w="70" w:type="dxa"/>
              <w:end w:w="90" w:type="dxa"/>
            </w:tcMar>
          </w:tcPr>
          <w:p>
            <w:pPr>
              <w:spacing w:after="0"/>
            </w:pPr>
            <w:r>
              <w:rPr>
                <w:color w:val="1F2937"/>
                <w:sz w:val="16"/>
              </w:rPr>
              <w:t>Conversation remains linked to the correct product object through provider updates.</w:t>
            </w:r>
          </w:p>
        </w:tc>
      </w:tr>
      <w:tr>
        <w:trPr>
          <w:cantSplit/>
        </w:trPr>
        <w:tc>
          <w:tcPr>
            <w:tcW w:type="dxa" w:w="3960"/>
            <w:shd w:fill="F8FAFC"/>
            <w:tcMar>
              <w:top w:w="70" w:type="dxa"/>
              <w:start w:w="90" w:type="dxa"/>
              <w:bottom w:w="70" w:type="dxa"/>
              <w:end w:w="90" w:type="dxa"/>
            </w:tcMar>
          </w:tcPr>
          <w:p>
            <w:pPr>
              <w:spacing w:after="0"/>
            </w:pPr>
            <w:r>
              <w:rPr>
                <w:color w:val="1F2937"/>
                <w:sz w:val="16"/>
              </w:rPr>
              <w:t>Agent attribution is correct</w:t>
            </w:r>
          </w:p>
        </w:tc>
        <w:tc>
          <w:tcPr>
            <w:tcW w:type="dxa" w:w="5688"/>
            <w:shd w:fill="F8FAFC"/>
            <w:tcMar>
              <w:top w:w="70" w:type="dxa"/>
              <w:start w:w="90" w:type="dxa"/>
              <w:bottom w:w="70" w:type="dxa"/>
              <w:end w:w="90" w:type="dxa"/>
            </w:tcMar>
          </w:tcPr>
          <w:p>
            <w:pPr>
              <w:spacing w:after="0"/>
            </w:pPr>
            <w:r>
              <w:rPr>
                <w:color w:val="1F2937"/>
                <w:sz w:val="16"/>
              </w:rPr>
              <w:t>Provider and product audit records identify the acting agent.</w:t>
            </w:r>
          </w:p>
        </w:tc>
      </w:tr>
    </w:tbl>
    <w:p>
      <w:pPr>
        <w:pStyle w:val="Heading2"/>
        <w:keepNext/>
        <w:keepLines/>
        <w:widowControl/>
      </w:pPr>
      <w:r>
        <w:t>18.2 Reliability and recovery acceptance</w:t>
      </w:r>
    </w:p>
    <w:p>
      <w:pPr>
        <w:pStyle w:val="ListBullet"/>
        <w:spacing w:after="40"/>
        <w:widowControl/>
      </w:pPr>
      <w:r>
        <w:t>A duplicate webhook delivery produces one effective state transition.</w:t>
      </w:r>
    </w:p>
    <w:p>
      <w:pPr>
        <w:pStyle w:val="ListBullet"/>
        <w:spacing w:after="40"/>
        <w:widowControl/>
      </w:pPr>
      <w:r>
        <w:t>A missed webhook is repaired by reconciliation.</w:t>
      </w:r>
    </w:p>
    <w:p>
      <w:pPr>
        <w:pStyle w:val="ListBullet"/>
        <w:spacing w:after="40"/>
        <w:widowControl/>
      </w:pPr>
      <w:r>
        <w:t>A timed-out write does not create a duplicate message when retried.</w:t>
      </w:r>
    </w:p>
    <w:p>
      <w:pPr>
        <w:pStyle w:val="ListBullet"/>
        <w:spacing w:after="40"/>
        <w:widowControl/>
      </w:pPr>
      <w:r>
        <w:t>Gateway restart does not lose queued webhook work.</w:t>
      </w:r>
    </w:p>
    <w:p>
      <w:pPr>
        <w:pStyle w:val="ListBullet"/>
        <w:spacing w:after="40"/>
        <w:widowControl/>
      </w:pPr>
      <w:r>
        <w:t>Chatwoot worker restart resumes pending jobs.</w:t>
      </w:r>
    </w:p>
    <w:p>
      <w:pPr>
        <w:pStyle w:val="ListBullet"/>
        <w:spacing w:after="40"/>
        <w:widowControl/>
      </w:pPr>
      <w:r>
        <w:t>A database restore preserves mappings and allows reconciliation to resume.</w:t>
      </w:r>
    </w:p>
    <w:p>
      <w:pPr>
        <w:pStyle w:val="ListBullet"/>
        <w:spacing w:after="40"/>
        <w:widowControl/>
      </w:pPr>
      <w:r>
        <w:t>A staging upgrade passes the full contract suite before production rollout.</w:t>
      </w:r>
    </w:p>
    <w:p>
      <w:pPr>
        <w:pStyle w:val="Heading2"/>
        <w:keepNext/>
        <w:keepLines/>
        <w:widowControl/>
      </w:pPr>
      <w:r>
        <w:t>18.3 Security acceptance</w:t>
      </w:r>
    </w:p>
    <w:p>
      <w:pPr>
        <w:pStyle w:val="ListBullet"/>
        <w:spacing w:after="40"/>
        <w:widowControl/>
      </w:pPr>
      <w:r>
        <w:t>No Chatwoot token is visible in browser storage, network responses, logs, traces, or client bundles.</w:t>
      </w:r>
    </w:p>
    <w:p>
      <w:pPr>
        <w:pStyle w:val="ListBullet"/>
        <w:spacing w:after="40"/>
        <w:widowControl/>
      </w:pPr>
      <w:r>
        <w:t>Cross-tenant reads and writes are rejected even when valid provider IDs are supplied.</w:t>
      </w:r>
    </w:p>
    <w:p>
      <w:pPr>
        <w:pStyle w:val="ListBullet"/>
        <w:spacing w:after="40"/>
        <w:widowControl/>
      </w:pPr>
      <w:r>
        <w:t>Unsigned, stale, modified, and replayed webhooks are rejected.</w:t>
      </w:r>
    </w:p>
    <w:p>
      <w:pPr>
        <w:pStyle w:val="ListBullet"/>
        <w:spacing w:after="40"/>
        <w:widowControl/>
      </w:pPr>
      <w:r>
        <w:t>Inbound HTML is sanitized and unsafe attachments are blocked or quarantined.</w:t>
      </w:r>
    </w:p>
    <w:p>
      <w:pPr>
        <w:pStyle w:val="ListBullet"/>
        <w:spacing w:after="40"/>
        <w:widowControl/>
      </w:pPr>
      <w:r>
        <w:t>Administrative Chatwoot UI is not publicly accessible to ordinary product users.</w:t>
      </w:r>
    </w:p>
    <w:p>
      <w:pPr>
        <w:pStyle w:val="Heading1"/>
        <w:keepNext/>
        <w:keepLines/>
        <w:widowControl/>
      </w:pPr>
      <w:r>
        <w:t>19. Risks and Mitigations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shd w:fill="17365D"/>
            <w:tcMar>
              <w:top w:w="75" w:type="dxa"/>
              <w:start w:w="90" w:type="dxa"/>
              <w:bottom w:w="75" w:type="dxa"/>
              <w:end w:w="90" w:type="dxa"/>
            </w:tcMar>
          </w:tcPr>
          <w:p>
            <w:pPr>
              <w:jc w:val="left"/>
            </w:pPr>
            <w:r>
              <w:rPr>
                <w:b/>
                <w:color w:val="FFFFFF"/>
                <w:sz w:val="15"/>
              </w:rPr>
              <w:t>Risk</w:t>
            </w:r>
          </w:p>
        </w:tc>
        <w:tc>
          <w:tcPr>
            <w:tcW w:type="dxa" w:w="2520"/>
            <w:shd w:fill="17365D"/>
            <w:tcMar>
              <w:top w:w="75" w:type="dxa"/>
              <w:start w:w="90" w:type="dxa"/>
              <w:bottom w:w="75" w:type="dxa"/>
              <w:end w:w="90" w:type="dxa"/>
            </w:tcMar>
          </w:tcPr>
          <w:p>
            <w:pPr>
              <w:jc w:val="left"/>
            </w:pPr>
            <w:r>
              <w:rPr>
                <w:b/>
                <w:color w:val="FFFFFF"/>
                <w:sz w:val="15"/>
              </w:rPr>
              <w:t>Impact</w:t>
            </w:r>
          </w:p>
        </w:tc>
        <w:tc>
          <w:tcPr>
            <w:tcW w:type="dxa" w:w="4824"/>
            <w:shd w:fill="17365D"/>
            <w:tcMar>
              <w:top w:w="75" w:type="dxa"/>
              <w:start w:w="90" w:type="dxa"/>
              <w:bottom w:w="75" w:type="dxa"/>
              <w:end w:w="90" w:type="dxa"/>
            </w:tcMar>
          </w:tcPr>
          <w:p>
            <w:pPr>
              <w:jc w:val="left"/>
            </w:pPr>
            <w:r>
              <w:rPr>
                <w:b/>
                <w:color w:val="FFFFFF"/>
                <w:sz w:val="15"/>
              </w:rPr>
              <w:t>Mitigation</w:t>
            </w:r>
          </w:p>
        </w:tc>
      </w:tr>
      <w:tr>
        <w:trPr>
          <w:cantSplit/>
        </w:trPr>
        <w:tc>
          <w:tcPr>
            <w:tcW w:type="dxa" w:w="2304"/>
            <w:tcMar>
              <w:top w:w="70" w:type="dxa"/>
              <w:start w:w="90" w:type="dxa"/>
              <w:bottom w:w="70" w:type="dxa"/>
              <w:end w:w="90" w:type="dxa"/>
            </w:tcMar>
          </w:tcPr>
          <w:p>
            <w:pPr>
              <w:spacing w:after="0"/>
            </w:pPr>
            <w:r>
              <w:rPr>
                <w:color w:val="1F2937"/>
                <w:sz w:val="15"/>
              </w:rPr>
              <w:t>Undocumented API behavior</w:t>
            </w:r>
          </w:p>
        </w:tc>
        <w:tc>
          <w:tcPr>
            <w:tcW w:type="dxa" w:w="2520"/>
            <w:tcMar>
              <w:top w:w="70" w:type="dxa"/>
              <w:start w:w="90" w:type="dxa"/>
              <w:bottom w:w="70" w:type="dxa"/>
              <w:end w:w="90" w:type="dxa"/>
            </w:tcMar>
          </w:tcPr>
          <w:p>
            <w:pPr>
              <w:spacing w:after="0"/>
            </w:pPr>
            <w:r>
              <w:rPr>
                <w:color w:val="1F2937"/>
                <w:sz w:val="15"/>
              </w:rPr>
              <w:t>Client breaks after upgrade</w:t>
            </w:r>
          </w:p>
        </w:tc>
        <w:tc>
          <w:tcPr>
            <w:tcW w:type="dxa" w:w="4824"/>
            <w:tcMar>
              <w:top w:w="70" w:type="dxa"/>
              <w:start w:w="90" w:type="dxa"/>
              <w:bottom w:w="70" w:type="dxa"/>
              <w:end w:w="90" w:type="dxa"/>
            </w:tcMar>
          </w:tcPr>
          <w:p>
            <w:pPr>
              <w:spacing w:after="0"/>
            </w:pPr>
            <w:r>
              <w:rPr>
                <w:color w:val="1F2937"/>
                <w:sz w:val="15"/>
              </w:rPr>
              <w:t>Pin versions, validate responses, run contract tests, and wrap all calls in the adapter.</w:t>
            </w:r>
          </w:p>
        </w:tc>
      </w:tr>
      <w:tr>
        <w:trPr>
          <w:cantSplit/>
        </w:trPr>
        <w:tc>
          <w:tcPr>
            <w:tcW w:type="dxa" w:w="2304"/>
            <w:shd w:fill="F8FAFC"/>
            <w:tcMar>
              <w:top w:w="70" w:type="dxa"/>
              <w:start w:w="90" w:type="dxa"/>
              <w:bottom w:w="70" w:type="dxa"/>
              <w:end w:w="90" w:type="dxa"/>
            </w:tcMar>
          </w:tcPr>
          <w:p>
            <w:pPr>
              <w:spacing w:after="0"/>
            </w:pPr>
            <w:r>
              <w:rPr>
                <w:color w:val="1F2937"/>
                <w:sz w:val="15"/>
              </w:rPr>
              <w:t>Provider model leaks into product</w:t>
            </w:r>
          </w:p>
        </w:tc>
        <w:tc>
          <w:tcPr>
            <w:tcW w:type="dxa" w:w="2520"/>
            <w:shd w:fill="F8FAFC"/>
            <w:tcMar>
              <w:top w:w="70" w:type="dxa"/>
              <w:start w:w="90" w:type="dxa"/>
              <w:bottom w:w="70" w:type="dxa"/>
              <w:end w:w="90" w:type="dxa"/>
            </w:tcMar>
          </w:tcPr>
          <w:p>
            <w:pPr>
              <w:spacing w:after="0"/>
            </w:pPr>
            <w:r>
              <w:rPr>
                <w:color w:val="1F2937"/>
                <w:sz w:val="15"/>
              </w:rPr>
              <w:t>Replacement becomes expensive</w:t>
            </w:r>
          </w:p>
        </w:tc>
        <w:tc>
          <w:tcPr>
            <w:tcW w:type="dxa" w:w="4824"/>
            <w:shd w:fill="F8FAFC"/>
            <w:tcMar>
              <w:top w:w="70" w:type="dxa"/>
              <w:start w:w="90" w:type="dxa"/>
              <w:bottom w:w="70" w:type="dxa"/>
              <w:end w:w="90" w:type="dxa"/>
            </w:tcMar>
          </w:tcPr>
          <w:p>
            <w:pPr>
              <w:spacing w:after="0"/>
            </w:pPr>
            <w:r>
              <w:rPr>
                <w:color w:val="1F2937"/>
                <w:sz w:val="15"/>
              </w:rPr>
              <w:t>Use provider-neutral DTOs and mapping tables; forbid raw provider objects in UI code.</w:t>
            </w:r>
          </w:p>
        </w:tc>
      </w:tr>
      <w:tr>
        <w:trPr>
          <w:cantSplit/>
        </w:trPr>
        <w:tc>
          <w:tcPr>
            <w:tcW w:type="dxa" w:w="2304"/>
            <w:tcMar>
              <w:top w:w="70" w:type="dxa"/>
              <w:start w:w="90" w:type="dxa"/>
              <w:bottom w:w="70" w:type="dxa"/>
              <w:end w:w="90" w:type="dxa"/>
            </w:tcMar>
          </w:tcPr>
          <w:p>
            <w:pPr>
              <w:spacing w:after="0"/>
            </w:pPr>
            <w:r>
              <w:rPr>
                <w:color w:val="1F2937"/>
                <w:sz w:val="15"/>
              </w:rPr>
              <w:t>Long-lived fork divergence</w:t>
            </w:r>
          </w:p>
        </w:tc>
        <w:tc>
          <w:tcPr>
            <w:tcW w:type="dxa" w:w="2520"/>
            <w:tcMar>
              <w:top w:w="70" w:type="dxa"/>
              <w:start w:w="90" w:type="dxa"/>
              <w:bottom w:w="70" w:type="dxa"/>
              <w:end w:w="90" w:type="dxa"/>
            </w:tcMar>
          </w:tcPr>
          <w:p>
            <w:pPr>
              <w:spacing w:after="0"/>
            </w:pPr>
            <w:r>
              <w:rPr>
                <w:color w:val="1F2937"/>
                <w:sz w:val="15"/>
              </w:rPr>
              <w:t>High merge and security burden</w:t>
            </w:r>
          </w:p>
        </w:tc>
        <w:tc>
          <w:tcPr>
            <w:tcW w:type="dxa" w:w="4824"/>
            <w:tcMar>
              <w:top w:w="70" w:type="dxa"/>
              <w:start w:w="90" w:type="dxa"/>
              <w:bottom w:w="70" w:type="dxa"/>
              <w:end w:w="90" w:type="dxa"/>
            </w:tcMar>
          </w:tcPr>
          <w:p>
            <w:pPr>
              <w:spacing w:after="0"/>
            </w:pPr>
            <w:r>
              <w:rPr>
                <w:color w:val="1F2937"/>
                <w:sz w:val="15"/>
              </w:rPr>
              <w:t>No-fork baseline; numbered patch overlay only for narrow backend changes.</w:t>
            </w:r>
          </w:p>
        </w:tc>
      </w:tr>
      <w:tr>
        <w:trPr>
          <w:cantSplit/>
        </w:trPr>
        <w:tc>
          <w:tcPr>
            <w:tcW w:type="dxa" w:w="2304"/>
            <w:shd w:fill="F8FAFC"/>
            <w:tcMar>
              <w:top w:w="70" w:type="dxa"/>
              <w:start w:w="90" w:type="dxa"/>
              <w:bottom w:w="70" w:type="dxa"/>
              <w:end w:w="90" w:type="dxa"/>
            </w:tcMar>
          </w:tcPr>
          <w:p>
            <w:pPr>
              <w:spacing w:after="0"/>
            </w:pPr>
            <w:r>
              <w:rPr>
                <w:color w:val="1F2937"/>
                <w:sz w:val="15"/>
              </w:rPr>
              <w:t>Enterprise code accidentally included</w:t>
            </w:r>
          </w:p>
        </w:tc>
        <w:tc>
          <w:tcPr>
            <w:tcW w:type="dxa" w:w="2520"/>
            <w:shd w:fill="F8FAFC"/>
            <w:tcMar>
              <w:top w:w="70" w:type="dxa"/>
              <w:start w:w="90" w:type="dxa"/>
              <w:bottom w:w="70" w:type="dxa"/>
              <w:end w:w="90" w:type="dxa"/>
            </w:tcMar>
          </w:tcPr>
          <w:p>
            <w:pPr>
              <w:spacing w:after="0"/>
            </w:pPr>
            <w:r>
              <w:rPr>
                <w:color w:val="1F2937"/>
                <w:sz w:val="15"/>
              </w:rPr>
              <w:t>License non-compliance</w:t>
            </w:r>
          </w:p>
        </w:tc>
        <w:tc>
          <w:tcPr>
            <w:tcW w:type="dxa" w:w="4824"/>
            <w:shd w:fill="F8FAFC"/>
            <w:tcMar>
              <w:top w:w="70" w:type="dxa"/>
              <w:start w:w="90" w:type="dxa"/>
              <w:bottom w:w="70" w:type="dxa"/>
              <w:end w:w="90" w:type="dxa"/>
            </w:tcMar>
          </w:tcPr>
          <w:p>
            <w:pPr>
              <w:spacing w:after="0"/>
            </w:pPr>
            <w:r>
              <w:rPr>
                <w:color w:val="1F2937"/>
                <w:sz w:val="15"/>
              </w:rPr>
              <w:t>Use CE tags, image inspection, SBOM, license scanning, and build gates.</w:t>
            </w:r>
          </w:p>
        </w:tc>
      </w:tr>
      <w:tr>
        <w:trPr>
          <w:cantSplit/>
        </w:trPr>
        <w:tc>
          <w:tcPr>
            <w:tcW w:type="dxa" w:w="2304"/>
            <w:tcMar>
              <w:top w:w="70" w:type="dxa"/>
              <w:start w:w="90" w:type="dxa"/>
              <w:bottom w:w="70" w:type="dxa"/>
              <w:end w:w="90" w:type="dxa"/>
            </w:tcMar>
          </w:tcPr>
          <w:p>
            <w:pPr>
              <w:spacing w:after="0"/>
            </w:pPr>
            <w:r>
              <w:rPr>
                <w:color w:val="1F2937"/>
                <w:sz w:val="15"/>
              </w:rPr>
              <w:t>Cross-tenant mapping defect</w:t>
            </w:r>
          </w:p>
        </w:tc>
        <w:tc>
          <w:tcPr>
            <w:tcW w:type="dxa" w:w="2520"/>
            <w:tcMar>
              <w:top w:w="70" w:type="dxa"/>
              <w:start w:w="90" w:type="dxa"/>
              <w:bottom w:w="70" w:type="dxa"/>
              <w:end w:w="90" w:type="dxa"/>
            </w:tcMar>
          </w:tcPr>
          <w:p>
            <w:pPr>
              <w:spacing w:after="0"/>
            </w:pPr>
            <w:r>
              <w:rPr>
                <w:color w:val="1F2937"/>
                <w:sz w:val="15"/>
              </w:rPr>
              <w:t>Data exposure</w:t>
            </w:r>
          </w:p>
        </w:tc>
        <w:tc>
          <w:tcPr>
            <w:tcW w:type="dxa" w:w="4824"/>
            <w:tcMar>
              <w:top w:w="70" w:type="dxa"/>
              <w:start w:w="90" w:type="dxa"/>
              <w:bottom w:w="70" w:type="dxa"/>
              <w:end w:w="90" w:type="dxa"/>
            </w:tcMar>
          </w:tcPr>
          <w:p>
            <w:pPr>
              <w:spacing w:after="0"/>
            </w:pPr>
            <w:r>
              <w:rPr>
                <w:color w:val="1F2937"/>
                <w:sz w:val="15"/>
              </w:rPr>
              <w:t>One account per tenant, strict gateway authorization, negative tests, and audit alerts.</w:t>
            </w:r>
          </w:p>
        </w:tc>
      </w:tr>
      <w:tr>
        <w:trPr>
          <w:cantSplit/>
        </w:trPr>
        <w:tc>
          <w:tcPr>
            <w:tcW w:type="dxa" w:w="2304"/>
            <w:shd w:fill="F8FAFC"/>
            <w:tcMar>
              <w:top w:w="70" w:type="dxa"/>
              <w:start w:w="90" w:type="dxa"/>
              <w:bottom w:w="70" w:type="dxa"/>
              <w:end w:w="90" w:type="dxa"/>
            </w:tcMar>
          </w:tcPr>
          <w:p>
            <w:pPr>
              <w:spacing w:after="0"/>
            </w:pPr>
            <w:r>
              <w:rPr>
                <w:color w:val="1F2937"/>
                <w:sz w:val="15"/>
              </w:rPr>
              <w:t>Webhook loss or duplication</w:t>
            </w:r>
          </w:p>
        </w:tc>
        <w:tc>
          <w:tcPr>
            <w:tcW w:type="dxa" w:w="2520"/>
            <w:shd w:fill="F8FAFC"/>
            <w:tcMar>
              <w:top w:w="70" w:type="dxa"/>
              <w:start w:w="90" w:type="dxa"/>
              <w:bottom w:w="70" w:type="dxa"/>
              <w:end w:w="90" w:type="dxa"/>
            </w:tcMar>
          </w:tcPr>
          <w:p>
            <w:pPr>
              <w:spacing w:after="0"/>
            </w:pPr>
            <w:r>
              <w:rPr>
                <w:color w:val="1F2937"/>
                <w:sz w:val="15"/>
              </w:rPr>
              <w:t>Stale or repeated UI events</w:t>
            </w:r>
          </w:p>
        </w:tc>
        <w:tc>
          <w:tcPr>
            <w:tcW w:type="dxa" w:w="4824"/>
            <w:shd w:fill="F8FAFC"/>
            <w:tcMar>
              <w:top w:w="70" w:type="dxa"/>
              <w:start w:w="90" w:type="dxa"/>
              <w:bottom w:w="70" w:type="dxa"/>
              <w:end w:w="90" w:type="dxa"/>
            </w:tcMar>
          </w:tcPr>
          <w:p>
            <w:pPr>
              <w:spacing w:after="0"/>
            </w:pPr>
            <w:r>
              <w:rPr>
                <w:color w:val="1F2937"/>
                <w:sz w:val="15"/>
              </w:rPr>
              <w:t>HMAC validation, idempotency, durable queueing, and reconciliation.</w:t>
            </w:r>
          </w:p>
        </w:tc>
      </w:tr>
      <w:tr>
        <w:trPr>
          <w:cantSplit/>
        </w:trPr>
        <w:tc>
          <w:tcPr>
            <w:tcW w:type="dxa" w:w="2304"/>
            <w:tcMar>
              <w:top w:w="70" w:type="dxa"/>
              <w:start w:w="90" w:type="dxa"/>
              <w:bottom w:w="70" w:type="dxa"/>
              <w:end w:w="90" w:type="dxa"/>
            </w:tcMar>
          </w:tcPr>
          <w:p>
            <w:pPr>
              <w:spacing w:after="0"/>
            </w:pPr>
            <w:r>
              <w:rPr>
                <w:color w:val="1F2937"/>
                <w:sz w:val="15"/>
              </w:rPr>
              <w:t>Per-agent token compromise</w:t>
            </w:r>
          </w:p>
        </w:tc>
        <w:tc>
          <w:tcPr>
            <w:tcW w:type="dxa" w:w="2520"/>
            <w:tcMar>
              <w:top w:w="70" w:type="dxa"/>
              <w:start w:w="90" w:type="dxa"/>
              <w:bottom w:w="70" w:type="dxa"/>
              <w:end w:w="90" w:type="dxa"/>
            </w:tcMar>
          </w:tcPr>
          <w:p>
            <w:pPr>
              <w:spacing w:after="0"/>
            </w:pPr>
            <w:r>
              <w:rPr>
                <w:color w:val="1F2937"/>
                <w:sz w:val="15"/>
              </w:rPr>
              <w:t>Unauthorized support actions</w:t>
            </w:r>
          </w:p>
        </w:tc>
        <w:tc>
          <w:tcPr>
            <w:tcW w:type="dxa" w:w="4824"/>
            <w:tcMar>
              <w:top w:w="70" w:type="dxa"/>
              <w:start w:w="90" w:type="dxa"/>
              <w:bottom w:w="70" w:type="dxa"/>
              <w:end w:w="90" w:type="dxa"/>
            </w:tcMar>
          </w:tcPr>
          <w:p>
            <w:pPr>
              <w:spacing w:after="0"/>
            </w:pPr>
            <w:r>
              <w:rPr>
                <w:color w:val="1F2937"/>
                <w:sz w:val="15"/>
              </w:rPr>
              <w:t>Encryption, least privilege, rotation, egress controls, and revocation.</w:t>
            </w:r>
          </w:p>
        </w:tc>
      </w:tr>
      <w:tr>
        <w:trPr>
          <w:cantSplit/>
        </w:trPr>
        <w:tc>
          <w:tcPr>
            <w:tcW w:type="dxa" w:w="2304"/>
            <w:shd w:fill="F8FAFC"/>
            <w:tcMar>
              <w:top w:w="70" w:type="dxa"/>
              <w:start w:w="90" w:type="dxa"/>
              <w:bottom w:w="70" w:type="dxa"/>
              <w:end w:w="90" w:type="dxa"/>
            </w:tcMar>
          </w:tcPr>
          <w:p>
            <w:pPr>
              <w:spacing w:after="0"/>
            </w:pPr>
            <w:r>
              <w:rPr>
                <w:color w:val="1F2937"/>
                <w:sz w:val="15"/>
              </w:rPr>
              <w:t>Attachment abuse</w:t>
            </w:r>
          </w:p>
        </w:tc>
        <w:tc>
          <w:tcPr>
            <w:tcW w:type="dxa" w:w="2520"/>
            <w:shd w:fill="F8FAFC"/>
            <w:tcMar>
              <w:top w:w="70" w:type="dxa"/>
              <w:start w:w="90" w:type="dxa"/>
              <w:bottom w:w="70" w:type="dxa"/>
              <w:end w:w="90" w:type="dxa"/>
            </w:tcMar>
          </w:tcPr>
          <w:p>
            <w:pPr>
              <w:spacing w:after="0"/>
            </w:pPr>
            <w:r>
              <w:rPr>
                <w:color w:val="1F2937"/>
                <w:sz w:val="15"/>
              </w:rPr>
              <w:t>Malware or data leakage</w:t>
            </w:r>
          </w:p>
        </w:tc>
        <w:tc>
          <w:tcPr>
            <w:tcW w:type="dxa" w:w="4824"/>
            <w:shd w:fill="F8FAFC"/>
            <w:tcMar>
              <w:top w:w="70" w:type="dxa"/>
              <w:start w:w="90" w:type="dxa"/>
              <w:bottom w:w="70" w:type="dxa"/>
              <w:end w:w="90" w:type="dxa"/>
            </w:tcMar>
          </w:tcPr>
          <w:p>
            <w:pPr>
              <w:spacing w:after="0"/>
            </w:pPr>
            <w:r>
              <w:rPr>
                <w:color w:val="1F2937"/>
                <w:sz w:val="15"/>
              </w:rPr>
              <w:t>Private storage, malware scanning, content restrictions, signed short-lived downloads.</w:t>
            </w:r>
          </w:p>
        </w:tc>
      </w:tr>
      <w:tr>
        <w:trPr>
          <w:cantSplit/>
        </w:trPr>
        <w:tc>
          <w:tcPr>
            <w:tcW w:type="dxa" w:w="2304"/>
            <w:tcMar>
              <w:top w:w="70" w:type="dxa"/>
              <w:start w:w="90" w:type="dxa"/>
              <w:bottom w:w="70" w:type="dxa"/>
              <w:end w:w="90" w:type="dxa"/>
            </w:tcMar>
          </w:tcPr>
          <w:p>
            <w:pPr>
              <w:spacing w:after="0"/>
            </w:pPr>
            <w:r>
              <w:rPr>
                <w:color w:val="1F2937"/>
                <w:sz w:val="15"/>
              </w:rPr>
              <w:t>Chatwoot outage</w:t>
            </w:r>
          </w:p>
        </w:tc>
        <w:tc>
          <w:tcPr>
            <w:tcW w:type="dxa" w:w="2520"/>
            <w:tcMar>
              <w:top w:w="70" w:type="dxa"/>
              <w:start w:w="90" w:type="dxa"/>
              <w:bottom w:w="70" w:type="dxa"/>
              <w:end w:w="90" w:type="dxa"/>
            </w:tcMar>
          </w:tcPr>
          <w:p>
            <w:pPr>
              <w:spacing w:after="0"/>
            </w:pPr>
            <w:r>
              <w:rPr>
                <w:color w:val="1F2937"/>
                <w:sz w:val="15"/>
              </w:rPr>
              <w:t>Support actions unavailable</w:t>
            </w:r>
          </w:p>
        </w:tc>
        <w:tc>
          <w:tcPr>
            <w:tcW w:type="dxa" w:w="4824"/>
            <w:tcMar>
              <w:top w:w="70" w:type="dxa"/>
              <w:start w:w="90" w:type="dxa"/>
              <w:bottom w:w="70" w:type="dxa"/>
              <w:end w:w="90" w:type="dxa"/>
            </w:tcMar>
          </w:tcPr>
          <w:p>
            <w:pPr>
              <w:spacing w:after="0"/>
            </w:pPr>
            <w:r>
              <w:rPr>
                <w:color w:val="1F2937"/>
                <w:sz w:val="15"/>
              </w:rPr>
              <w:t>Graceful degradation, cached reads, status visibility, retries, and tested restore procedures.</w:t>
            </w:r>
          </w:p>
        </w:tc>
      </w:tr>
      <w:tr>
        <w:trPr>
          <w:cantSplit/>
        </w:trPr>
        <w:tc>
          <w:tcPr>
            <w:tcW w:type="dxa" w:w="2304"/>
            <w:shd w:fill="F8FAFC"/>
            <w:tcMar>
              <w:top w:w="70" w:type="dxa"/>
              <w:start w:w="90" w:type="dxa"/>
              <w:bottom w:w="70" w:type="dxa"/>
              <w:end w:w="90" w:type="dxa"/>
            </w:tcMar>
          </w:tcPr>
          <w:p>
            <w:pPr>
              <w:spacing w:after="0"/>
            </w:pPr>
            <w:r>
              <w:rPr>
                <w:color w:val="1F2937"/>
                <w:sz w:val="15"/>
              </w:rPr>
              <w:t>Paid feature dependency</w:t>
            </w:r>
          </w:p>
        </w:tc>
        <w:tc>
          <w:tcPr>
            <w:tcW w:type="dxa" w:w="2520"/>
            <w:shd w:fill="F8FAFC"/>
            <w:tcMar>
              <w:top w:w="70" w:type="dxa"/>
              <w:start w:w="90" w:type="dxa"/>
              <w:bottom w:w="70" w:type="dxa"/>
              <w:end w:w="90" w:type="dxa"/>
            </w:tcMar>
          </w:tcPr>
          <w:p>
            <w:pPr>
              <w:spacing w:after="0"/>
            </w:pPr>
            <w:r>
              <w:rPr>
                <w:color w:val="1F2937"/>
                <w:sz w:val="15"/>
              </w:rPr>
              <w:t>Unexpected licensing cost</w:t>
            </w:r>
          </w:p>
        </w:tc>
        <w:tc>
          <w:tcPr>
            <w:tcW w:type="dxa" w:w="4824"/>
            <w:shd w:fill="F8FAFC"/>
            <w:tcMar>
              <w:top w:w="70" w:type="dxa"/>
              <w:start w:w="90" w:type="dxa"/>
              <w:bottom w:w="70" w:type="dxa"/>
              <w:end w:w="90" w:type="dxa"/>
            </w:tcMar>
          </w:tcPr>
          <w:p>
            <w:pPr>
              <w:spacing w:after="0"/>
            </w:pPr>
            <w:r>
              <w:rPr>
                <w:color w:val="1F2937"/>
                <w:sz w:val="15"/>
              </w:rPr>
              <w:t>Implement product-native controls or make an explicit enterprise purchasing decision.</w:t>
            </w:r>
          </w:p>
        </w:tc>
      </w:tr>
    </w:tbl>
    <w:p>
      <w:pPr>
        <w:pStyle w:val="Heading1"/>
        <w:keepNext/>
        <w:keepLines/>
        <w:widowControl/>
      </w:pPr>
      <w:r>
        <w:t>20. Final Recommendation</w:t>
      </w:r>
    </w:p>
    <w:tbl>
      <w:tblPr>
        <w:tblW w:type="auto" w:w="0"/>
        <w:jc w:val="center"/>
        <w:tblLayout w:type="fixed"/>
        <w:tblLook w:firstColumn="1" w:firstRow="1" w:lastColumn="0" w:lastRow="0" w:noHBand="0" w:noVBand="1" w:val="04A0"/>
      </w:tblPr>
      <w:tblGrid>
        <w:gridCol w:w="115"/>
        <w:gridCol w:w="10008"/>
      </w:tblGrid>
      <w:tr>
        <w:trPr>
          <w:cantSplit/>
        </w:trPr>
        <w:tc>
          <w:tcPr>
            <w:tcW w:type="dxa" w:w="5040"/>
            <w:shd w:fill="2E7D32"/>
            <w:tcMar>
              <w:top w:w="0" w:type="dxa"/>
              <w:start w:w="0" w:type="dxa"/>
              <w:bottom w:w="0" w:type="dxa"/>
              <w:end w:w="0" w:type="dxa"/>
            </w:tcMar>
          </w:tcPr>
          <w:p/>
        </w:tc>
        <w:tc>
          <w:tcPr>
            <w:tcW w:type="dxa" w:w="5040"/>
            <w:shd w:fill="E8F5E9"/>
            <w:tcMar>
              <w:top w:w="95" w:type="dxa"/>
              <w:start w:w="130" w:type="dxa"/>
              <w:bottom w:w="95" w:type="dxa"/>
              <w:end w:w="130" w:type="dxa"/>
            </w:tcMar>
          </w:tcPr>
          <w:p>
            <w:pPr>
              <w:spacing w:after="40"/>
            </w:pPr>
            <w:r>
              <w:rPr>
                <w:b/>
                <w:color w:val="2E7D32"/>
                <w:sz w:val="19"/>
              </w:rPr>
              <w:t>Adopt Chatwoot CE as a communications provider, not as the product’s application framework.</w:t>
            </w:r>
          </w:p>
          <w:p>
            <w:pPr>
              <w:spacing w:after="0" w:line="252" w:lineRule="auto"/>
            </w:pPr>
            <w:r>
              <w:rPr>
                <w:color w:val="1F2937"/>
                <w:sz w:val="18"/>
              </w:rPr>
              <w:t>Use a version-pinned CE image, a proprietary Node.js support gateway, and a custom Next.js UI. Keep the native Chatwoot dashboard private for administration. Provision agents through Platform APIs, perform ordinary work through Application APIs, and use Client APIs only for a custom customer chat surface.</w:t>
            </w:r>
          </w:p>
        </w:tc>
      </w:tr>
    </w:tbl>
    <w:p>
      <w:pPr>
        <w:widowControl/>
      </w:pPr>
      <w:r>
        <w:rPr>
          <w:b/>
        </w:rPr>
        <w:t xml:space="preserve">Start without a fork. </w:t>
      </w:r>
      <w:r>
        <w:t>Implement the complete proof of concept through APIs and webhooks first. If a genuine API or event gap remains, maintain a small CE-derived patch overlay that can be reapplied to an exact upstream release and tested automatically.</w:t>
      </w:r>
    </w:p>
    <w:p>
      <w:pPr>
        <w:widowControl/>
      </w:pPr>
      <w:r>
        <w:rPr>
          <w:b/>
        </w:rPr>
        <w:t xml:space="preserve">Keep proprietary business capabilities outside Chatwoot. </w:t>
      </w:r>
      <w:r>
        <w:t>The product should remain authoritative for tickets, incidents, workflows, SLAs, audit, SSO, RBAC, AI, billing, and cross-domain relationships. This avoids dependence on enterprise/ code and gives the product a stable architecture even if Chatwoot is later replaced.</w:t>
      </w:r>
    </w:p>
    <w:p>
      <w:pPr>
        <w:widowControl/>
      </w:pPr>
      <w:r>
        <w:rPr>
          <w:b/>
        </w:rPr>
        <w:t xml:space="preserve">Production readiness gate. </w:t>
      </w:r>
      <w:r>
        <w:t>Do not release until email threading, attachments, per-agent attribution, tenant isolation, webhook verification, reconciliation, upgrade testing, backup restoration, and license-boundary checks have all passed.</w:t>
      </w:r>
    </w:p>
    <w:p>
      <w:pPr>
        <w:pStyle w:val="Heading1"/>
        <w:keepNext/>
        <w:keepLines/>
        <w:widowControl/>
      </w:pPr>
      <w:r>
        <w:t>Appendix A. Suggested API Contract</w:t>
      </w:r>
    </w:p>
    <w:p>
      <w:pPr>
        <w:pStyle w:val="Heading2"/>
        <w:keepNext/>
        <w:keepLines/>
        <w:widowControl/>
      </w:pPr>
      <w:r>
        <w:t>A.1 Product-facing routes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936"/>
            <w:shd w:fill="17365D"/>
            <w:tcMar>
              <w:top w:w="75" w:type="dxa"/>
              <w:start w:w="90" w:type="dxa"/>
              <w:bottom w:w="75" w:type="dxa"/>
              <w:end w:w="90" w:type="dxa"/>
            </w:tcMar>
          </w:tcPr>
          <w:p>
            <w:pPr>
              <w:jc w:val="left"/>
            </w:pPr>
            <w:r>
              <w:rPr>
                <w:b/>
                <w:color w:val="FFFFFF"/>
                <w:sz w:val="16"/>
              </w:rPr>
              <w:t>Method</w:t>
            </w:r>
          </w:p>
        </w:tc>
        <w:tc>
          <w:tcPr>
            <w:tcW w:type="dxa" w:w="3960"/>
            <w:shd w:fill="17365D"/>
            <w:tcMar>
              <w:top w:w="75" w:type="dxa"/>
              <w:start w:w="90" w:type="dxa"/>
              <w:bottom w:w="75" w:type="dxa"/>
              <w:end w:w="90" w:type="dxa"/>
            </w:tcMar>
          </w:tcPr>
          <w:p>
            <w:pPr>
              <w:jc w:val="left"/>
            </w:pPr>
            <w:r>
              <w:rPr>
                <w:b/>
                <w:color w:val="FFFFFF"/>
                <w:sz w:val="16"/>
              </w:rPr>
              <w:t>Route</w:t>
            </w:r>
          </w:p>
        </w:tc>
        <w:tc>
          <w:tcPr>
            <w:tcW w:type="dxa" w:w="4752"/>
            <w:shd w:fill="17365D"/>
            <w:tcMar>
              <w:top w:w="75" w:type="dxa"/>
              <w:start w:w="90" w:type="dxa"/>
              <w:bottom w:w="75" w:type="dxa"/>
              <w:end w:w="90" w:type="dxa"/>
            </w:tcMar>
          </w:tcPr>
          <w:p>
            <w:pPr>
              <w:jc w:val="left"/>
            </w:pPr>
            <w:r>
              <w:rPr>
                <w:b/>
                <w:color w:val="FFFFFF"/>
                <w:sz w:val="16"/>
              </w:rPr>
              <w:t>Purpose</w:t>
            </w:r>
          </w:p>
        </w:tc>
      </w:tr>
      <w:tr>
        <w:trPr>
          <w:cantSplit/>
        </w:trPr>
        <w:tc>
          <w:tcPr>
            <w:tcW w:type="dxa" w:w="936"/>
            <w:tcMar>
              <w:top w:w="70" w:type="dxa"/>
              <w:start w:w="90" w:type="dxa"/>
              <w:bottom w:w="70" w:type="dxa"/>
              <w:end w:w="90" w:type="dxa"/>
            </w:tcMar>
          </w:tcPr>
          <w:p>
            <w:pPr>
              <w:spacing w:after="0"/>
            </w:pPr>
            <w:r>
              <w:rPr>
                <w:color w:val="1F2937"/>
                <w:sz w:val="16"/>
              </w:rPr>
              <w:t>GET</w:t>
            </w:r>
          </w:p>
        </w:tc>
        <w:tc>
          <w:tcPr>
            <w:tcW w:type="dxa" w:w="3960"/>
            <w:tcMar>
              <w:top w:w="70" w:type="dxa"/>
              <w:start w:w="90" w:type="dxa"/>
              <w:bottom w:w="70" w:type="dxa"/>
              <w:end w:w="90" w:type="dxa"/>
            </w:tcMar>
          </w:tcPr>
          <w:p>
            <w:pPr>
              <w:spacing w:after="0"/>
            </w:pPr>
            <w:r>
              <w:rPr>
                <w:color w:val="1F2937"/>
                <w:sz w:val="16"/>
              </w:rPr>
              <w:t>/support/conversations</w:t>
            </w:r>
          </w:p>
        </w:tc>
        <w:tc>
          <w:tcPr>
            <w:tcW w:type="dxa" w:w="4752"/>
            <w:tcMar>
              <w:top w:w="70" w:type="dxa"/>
              <w:start w:w="90" w:type="dxa"/>
              <w:bottom w:w="70" w:type="dxa"/>
              <w:end w:w="90" w:type="dxa"/>
            </w:tcMar>
          </w:tcPr>
          <w:p>
            <w:pPr>
              <w:spacing w:after="0"/>
            </w:pPr>
            <w:r>
              <w:rPr>
                <w:color w:val="1F2937"/>
                <w:sz w:val="16"/>
              </w:rPr>
              <w:t>List normalized conversations with product-level filtering.</w:t>
            </w:r>
          </w:p>
        </w:tc>
      </w:tr>
      <w:tr>
        <w:trPr>
          <w:cantSplit/>
        </w:trPr>
        <w:tc>
          <w:tcPr>
            <w:tcW w:type="dxa" w:w="936"/>
            <w:shd w:fill="F8FAFC"/>
            <w:tcMar>
              <w:top w:w="70" w:type="dxa"/>
              <w:start w:w="90" w:type="dxa"/>
              <w:bottom w:w="70" w:type="dxa"/>
              <w:end w:w="90" w:type="dxa"/>
            </w:tcMar>
          </w:tcPr>
          <w:p>
            <w:pPr>
              <w:spacing w:after="0"/>
            </w:pPr>
            <w:r>
              <w:rPr>
                <w:color w:val="1F2937"/>
                <w:sz w:val="16"/>
              </w:rPr>
              <w:t>GET</w:t>
            </w:r>
          </w:p>
        </w:tc>
        <w:tc>
          <w:tcPr>
            <w:tcW w:type="dxa" w:w="3960"/>
            <w:shd w:fill="F8FAFC"/>
            <w:tcMar>
              <w:top w:w="70" w:type="dxa"/>
              <w:start w:w="90" w:type="dxa"/>
              <w:bottom w:w="70" w:type="dxa"/>
              <w:end w:w="90" w:type="dxa"/>
            </w:tcMar>
          </w:tcPr>
          <w:p>
            <w:pPr>
              <w:spacing w:after="0"/>
            </w:pPr>
            <w:r>
              <w:rPr>
                <w:color w:val="1F2937"/>
                <w:sz w:val="16"/>
              </w:rPr>
              <w:t>/support/conversations/{id}</w:t>
            </w:r>
          </w:p>
        </w:tc>
        <w:tc>
          <w:tcPr>
            <w:tcW w:type="dxa" w:w="4752"/>
            <w:shd w:fill="F8FAFC"/>
            <w:tcMar>
              <w:top w:w="70" w:type="dxa"/>
              <w:start w:w="90" w:type="dxa"/>
              <w:bottom w:w="70" w:type="dxa"/>
              <w:end w:w="90" w:type="dxa"/>
            </w:tcMar>
          </w:tcPr>
          <w:p>
            <w:pPr>
              <w:spacing w:after="0"/>
            </w:pPr>
            <w:r>
              <w:rPr>
                <w:color w:val="1F2937"/>
                <w:sz w:val="16"/>
              </w:rPr>
              <w:t>Retrieve one authorized conversation.</w:t>
            </w:r>
          </w:p>
        </w:tc>
      </w:tr>
      <w:tr>
        <w:trPr>
          <w:cantSplit/>
        </w:trPr>
        <w:tc>
          <w:tcPr>
            <w:tcW w:type="dxa" w:w="936"/>
            <w:tcMar>
              <w:top w:w="70" w:type="dxa"/>
              <w:start w:w="90" w:type="dxa"/>
              <w:bottom w:w="70" w:type="dxa"/>
              <w:end w:w="90" w:type="dxa"/>
            </w:tcMar>
          </w:tcPr>
          <w:p>
            <w:pPr>
              <w:spacing w:after="0"/>
            </w:pPr>
            <w:r>
              <w:rPr>
                <w:color w:val="1F2937"/>
                <w:sz w:val="16"/>
              </w:rPr>
              <w:t>GET</w:t>
            </w:r>
          </w:p>
        </w:tc>
        <w:tc>
          <w:tcPr>
            <w:tcW w:type="dxa" w:w="3960"/>
            <w:tcMar>
              <w:top w:w="70" w:type="dxa"/>
              <w:start w:w="90" w:type="dxa"/>
              <w:bottom w:w="70" w:type="dxa"/>
              <w:end w:w="90" w:type="dxa"/>
            </w:tcMar>
          </w:tcPr>
          <w:p>
            <w:pPr>
              <w:spacing w:after="0"/>
            </w:pPr>
            <w:r>
              <w:rPr>
                <w:color w:val="1F2937"/>
                <w:sz w:val="16"/>
              </w:rPr>
              <w:t>/support/conversations/{id}/messages</w:t>
            </w:r>
          </w:p>
        </w:tc>
        <w:tc>
          <w:tcPr>
            <w:tcW w:type="dxa" w:w="4752"/>
            <w:tcMar>
              <w:top w:w="70" w:type="dxa"/>
              <w:start w:w="90" w:type="dxa"/>
              <w:bottom w:w="70" w:type="dxa"/>
              <w:end w:w="90" w:type="dxa"/>
            </w:tcMar>
          </w:tcPr>
          <w:p>
            <w:pPr>
              <w:spacing w:after="0"/>
            </w:pPr>
            <w:r>
              <w:rPr>
                <w:color w:val="1F2937"/>
                <w:sz w:val="16"/>
              </w:rPr>
              <w:t>Retrieve normalized message history.</w:t>
            </w:r>
          </w:p>
        </w:tc>
      </w:tr>
      <w:tr>
        <w:trPr>
          <w:cantSplit/>
        </w:trPr>
        <w:tc>
          <w:tcPr>
            <w:tcW w:type="dxa" w:w="936"/>
            <w:shd w:fill="F8FAFC"/>
            <w:tcMar>
              <w:top w:w="70" w:type="dxa"/>
              <w:start w:w="90" w:type="dxa"/>
              <w:bottom w:w="70" w:type="dxa"/>
              <w:end w:w="90" w:type="dxa"/>
            </w:tcMar>
          </w:tcPr>
          <w:p>
            <w:pPr>
              <w:spacing w:after="0"/>
            </w:pPr>
            <w:r>
              <w:rPr>
                <w:color w:val="1F2937"/>
                <w:sz w:val="16"/>
              </w:rPr>
              <w:t>POST</w:t>
            </w:r>
          </w:p>
        </w:tc>
        <w:tc>
          <w:tcPr>
            <w:tcW w:type="dxa" w:w="3960"/>
            <w:shd w:fill="F8FAFC"/>
            <w:tcMar>
              <w:top w:w="70" w:type="dxa"/>
              <w:start w:w="90" w:type="dxa"/>
              <w:bottom w:w="70" w:type="dxa"/>
              <w:end w:w="90" w:type="dxa"/>
            </w:tcMar>
          </w:tcPr>
          <w:p>
            <w:pPr>
              <w:spacing w:after="0"/>
            </w:pPr>
            <w:r>
              <w:rPr>
                <w:color w:val="1F2937"/>
                <w:sz w:val="16"/>
              </w:rPr>
              <w:t>/support/conversations/{id}/replies</w:t>
            </w:r>
          </w:p>
        </w:tc>
        <w:tc>
          <w:tcPr>
            <w:tcW w:type="dxa" w:w="4752"/>
            <w:shd w:fill="F8FAFC"/>
            <w:tcMar>
              <w:top w:w="70" w:type="dxa"/>
              <w:start w:w="90" w:type="dxa"/>
              <w:bottom w:w="70" w:type="dxa"/>
              <w:end w:w="90" w:type="dxa"/>
            </w:tcMar>
          </w:tcPr>
          <w:p>
            <w:pPr>
              <w:spacing w:after="0"/>
            </w:pPr>
            <w:r>
              <w:rPr>
                <w:color w:val="1F2937"/>
                <w:sz w:val="16"/>
              </w:rPr>
              <w:t>Send a public reply.</w:t>
            </w:r>
          </w:p>
        </w:tc>
      </w:tr>
      <w:tr>
        <w:trPr>
          <w:cantSplit/>
        </w:trPr>
        <w:tc>
          <w:tcPr>
            <w:tcW w:type="dxa" w:w="936"/>
            <w:tcMar>
              <w:top w:w="70" w:type="dxa"/>
              <w:start w:w="90" w:type="dxa"/>
              <w:bottom w:w="70" w:type="dxa"/>
              <w:end w:w="90" w:type="dxa"/>
            </w:tcMar>
          </w:tcPr>
          <w:p>
            <w:pPr>
              <w:spacing w:after="0"/>
            </w:pPr>
            <w:r>
              <w:rPr>
                <w:color w:val="1F2937"/>
                <w:sz w:val="16"/>
              </w:rPr>
              <w:t>POST</w:t>
            </w:r>
          </w:p>
        </w:tc>
        <w:tc>
          <w:tcPr>
            <w:tcW w:type="dxa" w:w="3960"/>
            <w:tcMar>
              <w:top w:w="70" w:type="dxa"/>
              <w:start w:w="90" w:type="dxa"/>
              <w:bottom w:w="70" w:type="dxa"/>
              <w:end w:w="90" w:type="dxa"/>
            </w:tcMar>
          </w:tcPr>
          <w:p>
            <w:pPr>
              <w:spacing w:after="0"/>
            </w:pPr>
            <w:r>
              <w:rPr>
                <w:color w:val="1F2937"/>
                <w:sz w:val="16"/>
              </w:rPr>
              <w:t>/support/conversations/{id}/notes</w:t>
            </w:r>
          </w:p>
        </w:tc>
        <w:tc>
          <w:tcPr>
            <w:tcW w:type="dxa" w:w="4752"/>
            <w:tcMar>
              <w:top w:w="70" w:type="dxa"/>
              <w:start w:w="90" w:type="dxa"/>
              <w:bottom w:w="70" w:type="dxa"/>
              <w:end w:w="90" w:type="dxa"/>
            </w:tcMar>
          </w:tcPr>
          <w:p>
            <w:pPr>
              <w:spacing w:after="0"/>
            </w:pPr>
            <w:r>
              <w:rPr>
                <w:color w:val="1F2937"/>
                <w:sz w:val="16"/>
              </w:rPr>
              <w:t>Create a private note.</w:t>
            </w:r>
          </w:p>
        </w:tc>
      </w:tr>
      <w:tr>
        <w:trPr>
          <w:cantSplit/>
        </w:trPr>
        <w:tc>
          <w:tcPr>
            <w:tcW w:type="dxa" w:w="936"/>
            <w:shd w:fill="F8FAFC"/>
            <w:tcMar>
              <w:top w:w="70" w:type="dxa"/>
              <w:start w:w="90" w:type="dxa"/>
              <w:bottom w:w="70" w:type="dxa"/>
              <w:end w:w="90" w:type="dxa"/>
            </w:tcMar>
          </w:tcPr>
          <w:p>
            <w:pPr>
              <w:spacing w:after="0"/>
            </w:pPr>
            <w:r>
              <w:rPr>
                <w:color w:val="1F2937"/>
                <w:sz w:val="16"/>
              </w:rPr>
              <w:t>PATCH</w:t>
            </w:r>
          </w:p>
        </w:tc>
        <w:tc>
          <w:tcPr>
            <w:tcW w:type="dxa" w:w="3960"/>
            <w:shd w:fill="F8FAFC"/>
            <w:tcMar>
              <w:top w:w="70" w:type="dxa"/>
              <w:start w:w="90" w:type="dxa"/>
              <w:bottom w:w="70" w:type="dxa"/>
              <w:end w:w="90" w:type="dxa"/>
            </w:tcMar>
          </w:tcPr>
          <w:p>
            <w:pPr>
              <w:spacing w:after="0"/>
            </w:pPr>
            <w:r>
              <w:rPr>
                <w:color w:val="1F2937"/>
                <w:sz w:val="16"/>
              </w:rPr>
              <w:t>/support/conversations/{id}/status</w:t>
            </w:r>
          </w:p>
        </w:tc>
        <w:tc>
          <w:tcPr>
            <w:tcW w:type="dxa" w:w="4752"/>
            <w:shd w:fill="F8FAFC"/>
            <w:tcMar>
              <w:top w:w="70" w:type="dxa"/>
              <w:start w:w="90" w:type="dxa"/>
              <w:bottom w:w="70" w:type="dxa"/>
              <w:end w:w="90" w:type="dxa"/>
            </w:tcMar>
          </w:tcPr>
          <w:p>
            <w:pPr>
              <w:spacing w:after="0"/>
            </w:pPr>
            <w:r>
              <w:rPr>
                <w:color w:val="1F2937"/>
                <w:sz w:val="16"/>
              </w:rPr>
              <w:t>Update product and provider state as defined by policy.</w:t>
            </w:r>
          </w:p>
        </w:tc>
      </w:tr>
      <w:tr>
        <w:trPr>
          <w:cantSplit/>
        </w:trPr>
        <w:tc>
          <w:tcPr>
            <w:tcW w:type="dxa" w:w="936"/>
            <w:tcMar>
              <w:top w:w="70" w:type="dxa"/>
              <w:start w:w="90" w:type="dxa"/>
              <w:bottom w:w="70" w:type="dxa"/>
              <w:end w:w="90" w:type="dxa"/>
            </w:tcMar>
          </w:tcPr>
          <w:p>
            <w:pPr>
              <w:spacing w:after="0"/>
            </w:pPr>
            <w:r>
              <w:rPr>
                <w:color w:val="1F2937"/>
                <w:sz w:val="16"/>
              </w:rPr>
              <w:t>PATCH</w:t>
            </w:r>
          </w:p>
        </w:tc>
        <w:tc>
          <w:tcPr>
            <w:tcW w:type="dxa" w:w="3960"/>
            <w:tcMar>
              <w:top w:w="70" w:type="dxa"/>
              <w:start w:w="90" w:type="dxa"/>
              <w:bottom w:w="70" w:type="dxa"/>
              <w:end w:w="90" w:type="dxa"/>
            </w:tcMar>
          </w:tcPr>
          <w:p>
            <w:pPr>
              <w:spacing w:after="0"/>
            </w:pPr>
            <w:r>
              <w:rPr>
                <w:color w:val="1F2937"/>
                <w:sz w:val="16"/>
              </w:rPr>
              <w:t>/support/conversations/{id}/assignment</w:t>
            </w:r>
          </w:p>
        </w:tc>
        <w:tc>
          <w:tcPr>
            <w:tcW w:type="dxa" w:w="4752"/>
            <w:tcMar>
              <w:top w:w="70" w:type="dxa"/>
              <w:start w:w="90" w:type="dxa"/>
              <w:bottom w:w="70" w:type="dxa"/>
              <w:end w:w="90" w:type="dxa"/>
            </w:tcMar>
          </w:tcPr>
          <w:p>
            <w:pPr>
              <w:spacing w:after="0"/>
            </w:pPr>
            <w:r>
              <w:rPr>
                <w:color w:val="1F2937"/>
                <w:sz w:val="16"/>
              </w:rPr>
              <w:t>Assign product and provider agents or teams.</w:t>
            </w:r>
          </w:p>
        </w:tc>
      </w:tr>
      <w:tr>
        <w:trPr>
          <w:cantSplit/>
        </w:trPr>
        <w:tc>
          <w:tcPr>
            <w:tcW w:type="dxa" w:w="936"/>
            <w:shd w:fill="F8FAFC"/>
            <w:tcMar>
              <w:top w:w="70" w:type="dxa"/>
              <w:start w:w="90" w:type="dxa"/>
              <w:bottom w:w="70" w:type="dxa"/>
              <w:end w:w="90" w:type="dxa"/>
            </w:tcMar>
          </w:tcPr>
          <w:p>
            <w:pPr>
              <w:spacing w:after="0"/>
            </w:pPr>
            <w:r>
              <w:rPr>
                <w:color w:val="1F2937"/>
                <w:sz w:val="16"/>
              </w:rPr>
              <w:t>PATCH</w:t>
            </w:r>
          </w:p>
        </w:tc>
        <w:tc>
          <w:tcPr>
            <w:tcW w:type="dxa" w:w="3960"/>
            <w:shd w:fill="F8FAFC"/>
            <w:tcMar>
              <w:top w:w="70" w:type="dxa"/>
              <w:start w:w="90" w:type="dxa"/>
              <w:bottom w:w="70" w:type="dxa"/>
              <w:end w:w="90" w:type="dxa"/>
            </w:tcMar>
          </w:tcPr>
          <w:p>
            <w:pPr>
              <w:spacing w:after="0"/>
            </w:pPr>
            <w:r>
              <w:rPr>
                <w:color w:val="1F2937"/>
                <w:sz w:val="16"/>
              </w:rPr>
              <w:t>/support/conversations/{id}/labels</w:t>
            </w:r>
          </w:p>
        </w:tc>
        <w:tc>
          <w:tcPr>
            <w:tcW w:type="dxa" w:w="4752"/>
            <w:shd w:fill="F8FAFC"/>
            <w:tcMar>
              <w:top w:w="70" w:type="dxa"/>
              <w:start w:w="90" w:type="dxa"/>
              <w:bottom w:w="70" w:type="dxa"/>
              <w:end w:w="90" w:type="dxa"/>
            </w:tcMar>
          </w:tcPr>
          <w:p>
            <w:pPr>
              <w:spacing w:after="0"/>
            </w:pPr>
            <w:r>
              <w:rPr>
                <w:color w:val="1F2937"/>
                <w:sz w:val="16"/>
              </w:rPr>
              <w:t>Update labels.</w:t>
            </w:r>
          </w:p>
        </w:tc>
      </w:tr>
      <w:tr>
        <w:trPr>
          <w:cantSplit/>
        </w:trPr>
        <w:tc>
          <w:tcPr>
            <w:tcW w:type="dxa" w:w="936"/>
            <w:tcMar>
              <w:top w:w="70" w:type="dxa"/>
              <w:start w:w="90" w:type="dxa"/>
              <w:bottom w:w="70" w:type="dxa"/>
              <w:end w:w="90" w:type="dxa"/>
            </w:tcMar>
          </w:tcPr>
          <w:p>
            <w:pPr>
              <w:spacing w:after="0"/>
            </w:pPr>
            <w:r>
              <w:rPr>
                <w:color w:val="1F2937"/>
                <w:sz w:val="16"/>
              </w:rPr>
              <w:t>POST</w:t>
            </w:r>
          </w:p>
        </w:tc>
        <w:tc>
          <w:tcPr>
            <w:tcW w:type="dxa" w:w="3960"/>
            <w:tcMar>
              <w:top w:w="70" w:type="dxa"/>
              <w:start w:w="90" w:type="dxa"/>
              <w:bottom w:w="70" w:type="dxa"/>
              <w:end w:w="90" w:type="dxa"/>
            </w:tcMar>
          </w:tcPr>
          <w:p>
            <w:pPr>
              <w:spacing w:after="0"/>
            </w:pPr>
            <w:r>
              <w:rPr>
                <w:color w:val="1F2937"/>
                <w:sz w:val="16"/>
              </w:rPr>
              <w:t>/support/conversations/{id}/attachments</w:t>
            </w:r>
          </w:p>
        </w:tc>
        <w:tc>
          <w:tcPr>
            <w:tcW w:type="dxa" w:w="4752"/>
            <w:tcMar>
              <w:top w:w="70" w:type="dxa"/>
              <w:start w:w="90" w:type="dxa"/>
              <w:bottom w:w="70" w:type="dxa"/>
              <w:end w:w="90" w:type="dxa"/>
            </w:tcMar>
          </w:tcPr>
          <w:p>
            <w:pPr>
              <w:spacing w:after="0"/>
            </w:pPr>
            <w:r>
              <w:rPr>
                <w:color w:val="1F2937"/>
                <w:sz w:val="16"/>
              </w:rPr>
              <w:t>Upload and attach files.</w:t>
            </w:r>
          </w:p>
        </w:tc>
      </w:tr>
      <w:tr>
        <w:trPr>
          <w:cantSplit/>
        </w:trPr>
        <w:tc>
          <w:tcPr>
            <w:tcW w:type="dxa" w:w="936"/>
            <w:shd w:fill="F8FAFC"/>
            <w:tcMar>
              <w:top w:w="70" w:type="dxa"/>
              <w:start w:w="90" w:type="dxa"/>
              <w:bottom w:w="70" w:type="dxa"/>
              <w:end w:w="90" w:type="dxa"/>
            </w:tcMar>
          </w:tcPr>
          <w:p>
            <w:pPr>
              <w:spacing w:after="0"/>
            </w:pPr>
            <w:r>
              <w:rPr>
                <w:color w:val="1F2937"/>
                <w:sz w:val="16"/>
              </w:rPr>
              <w:t>POST</w:t>
            </w:r>
          </w:p>
        </w:tc>
        <w:tc>
          <w:tcPr>
            <w:tcW w:type="dxa" w:w="3960"/>
            <w:shd w:fill="F8FAFC"/>
            <w:tcMar>
              <w:top w:w="70" w:type="dxa"/>
              <w:start w:w="90" w:type="dxa"/>
              <w:bottom w:w="70" w:type="dxa"/>
              <w:end w:w="90" w:type="dxa"/>
            </w:tcMar>
          </w:tcPr>
          <w:p>
            <w:pPr>
              <w:spacing w:after="0"/>
            </w:pPr>
            <w:r>
              <w:rPr>
                <w:color w:val="1F2937"/>
                <w:sz w:val="16"/>
              </w:rPr>
              <w:t>/internal/support/chatwoot/webhooks</w:t>
            </w:r>
          </w:p>
        </w:tc>
        <w:tc>
          <w:tcPr>
            <w:tcW w:type="dxa" w:w="4752"/>
            <w:shd w:fill="F8FAFC"/>
            <w:tcMar>
              <w:top w:w="70" w:type="dxa"/>
              <w:start w:w="90" w:type="dxa"/>
              <w:bottom w:w="70" w:type="dxa"/>
              <w:end w:w="90" w:type="dxa"/>
            </w:tcMar>
          </w:tcPr>
          <w:p>
            <w:pPr>
              <w:spacing w:after="0"/>
            </w:pPr>
            <w:r>
              <w:rPr>
                <w:color w:val="1F2937"/>
                <w:sz w:val="16"/>
              </w:rPr>
              <w:t>Receive signed Chatwoot events.</w:t>
            </w:r>
          </w:p>
        </w:tc>
      </w:tr>
      <w:tr>
        <w:trPr>
          <w:cantSplit/>
        </w:trPr>
        <w:tc>
          <w:tcPr>
            <w:tcW w:type="dxa" w:w="936"/>
            <w:tcMar>
              <w:top w:w="70" w:type="dxa"/>
              <w:start w:w="90" w:type="dxa"/>
              <w:bottom w:w="70" w:type="dxa"/>
              <w:end w:w="90" w:type="dxa"/>
            </w:tcMar>
          </w:tcPr>
          <w:p>
            <w:pPr>
              <w:spacing w:after="0"/>
            </w:pPr>
            <w:r>
              <w:rPr>
                <w:color w:val="1F2937"/>
                <w:sz w:val="16"/>
              </w:rPr>
              <w:t>POST</w:t>
            </w:r>
          </w:p>
        </w:tc>
        <w:tc>
          <w:tcPr>
            <w:tcW w:type="dxa" w:w="3960"/>
            <w:tcMar>
              <w:top w:w="70" w:type="dxa"/>
              <w:start w:w="90" w:type="dxa"/>
              <w:bottom w:w="70" w:type="dxa"/>
              <w:end w:w="90" w:type="dxa"/>
            </w:tcMar>
          </w:tcPr>
          <w:p>
            <w:pPr>
              <w:spacing w:after="0"/>
            </w:pPr>
            <w:r>
              <w:rPr>
                <w:color w:val="1F2937"/>
                <w:sz w:val="16"/>
              </w:rPr>
              <w:t>/internal/support/provisioning/users</w:t>
            </w:r>
          </w:p>
        </w:tc>
        <w:tc>
          <w:tcPr>
            <w:tcW w:type="dxa" w:w="4752"/>
            <w:tcMar>
              <w:top w:w="70" w:type="dxa"/>
              <w:start w:w="90" w:type="dxa"/>
              <w:bottom w:w="70" w:type="dxa"/>
              <w:end w:w="90" w:type="dxa"/>
            </w:tcMar>
          </w:tcPr>
          <w:p>
            <w:pPr>
              <w:spacing w:after="0"/>
            </w:pPr>
            <w:r>
              <w:rPr>
                <w:color w:val="1F2937"/>
                <w:sz w:val="16"/>
              </w:rPr>
              <w:t>Provision Chatwoot identities through the Platform API.</w:t>
            </w:r>
          </w:p>
        </w:tc>
      </w:tr>
      <w:tr>
        <w:trPr>
          <w:cantSplit/>
        </w:trPr>
        <w:tc>
          <w:tcPr>
            <w:tcW w:type="dxa" w:w="936"/>
            <w:shd w:fill="F8FAFC"/>
            <w:tcMar>
              <w:top w:w="70" w:type="dxa"/>
              <w:start w:w="90" w:type="dxa"/>
              <w:bottom w:w="70" w:type="dxa"/>
              <w:end w:w="90" w:type="dxa"/>
            </w:tcMar>
          </w:tcPr>
          <w:p>
            <w:pPr>
              <w:spacing w:after="0"/>
            </w:pPr>
            <w:r>
              <w:rPr>
                <w:color w:val="1F2937"/>
                <w:sz w:val="16"/>
              </w:rPr>
              <w:t>POST</w:t>
            </w:r>
          </w:p>
        </w:tc>
        <w:tc>
          <w:tcPr>
            <w:tcW w:type="dxa" w:w="3960"/>
            <w:shd w:fill="F8FAFC"/>
            <w:tcMar>
              <w:top w:w="70" w:type="dxa"/>
              <w:start w:w="90" w:type="dxa"/>
              <w:bottom w:w="70" w:type="dxa"/>
              <w:end w:w="90" w:type="dxa"/>
            </w:tcMar>
          </w:tcPr>
          <w:p>
            <w:pPr>
              <w:spacing w:after="0"/>
            </w:pPr>
            <w:r>
              <w:rPr>
                <w:color w:val="1F2937"/>
                <w:sz w:val="16"/>
              </w:rPr>
              <w:t>/internal/support/reconciliation</w:t>
            </w:r>
          </w:p>
        </w:tc>
        <w:tc>
          <w:tcPr>
            <w:tcW w:type="dxa" w:w="4752"/>
            <w:shd w:fill="F8FAFC"/>
            <w:tcMar>
              <w:top w:w="70" w:type="dxa"/>
              <w:start w:w="90" w:type="dxa"/>
              <w:bottom w:w="70" w:type="dxa"/>
              <w:end w:w="90" w:type="dxa"/>
            </w:tcMar>
          </w:tcPr>
          <w:p>
            <w:pPr>
              <w:spacing w:after="0"/>
            </w:pPr>
            <w:r>
              <w:rPr>
                <w:color w:val="1F2937"/>
                <w:sz w:val="16"/>
              </w:rPr>
              <w:t>Trigger scoped reconciliation.</w:t>
            </w:r>
          </w:p>
        </w:tc>
      </w:tr>
    </w:tbl>
    <w:p>
      <w:pPr>
        <w:pStyle w:val="Heading2"/>
        <w:keepNext/>
        <w:keepLines/>
        <w:widowControl/>
      </w:pPr>
      <w:r>
        <w:t>A.2 Error translation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320"/>
            <w:shd w:fill="17365D"/>
            <w:tcMar>
              <w:top w:w="75" w:type="dxa"/>
              <w:start w:w="90" w:type="dxa"/>
              <w:bottom w:w="75" w:type="dxa"/>
              <w:end w:w="90" w:type="dxa"/>
            </w:tcMar>
          </w:tcPr>
          <w:p>
            <w:pPr>
              <w:jc w:val="left"/>
            </w:pPr>
            <w:r>
              <w:rPr>
                <w:b/>
                <w:color w:val="FFFFFF"/>
                <w:sz w:val="16"/>
              </w:rPr>
              <w:t>Provider condition</w:t>
            </w:r>
          </w:p>
        </w:tc>
        <w:tc>
          <w:tcPr>
            <w:tcW w:type="dxa" w:w="5328"/>
            <w:shd w:fill="17365D"/>
            <w:tcMar>
              <w:top w:w="75" w:type="dxa"/>
              <w:start w:w="90" w:type="dxa"/>
              <w:bottom w:w="75" w:type="dxa"/>
              <w:end w:w="90" w:type="dxa"/>
            </w:tcMar>
          </w:tcPr>
          <w:p>
            <w:pPr>
              <w:jc w:val="left"/>
            </w:pPr>
            <w:r>
              <w:rPr>
                <w:b/>
                <w:color w:val="FFFFFF"/>
                <w:sz w:val="16"/>
              </w:rPr>
              <w:t>Product error</w:t>
            </w:r>
          </w:p>
        </w:tc>
      </w:tr>
      <w:tr>
        <w:trPr>
          <w:cantSplit/>
        </w:trPr>
        <w:tc>
          <w:tcPr>
            <w:tcW w:type="dxa" w:w="4320"/>
            <w:tcMar>
              <w:top w:w="70" w:type="dxa"/>
              <w:start w:w="90" w:type="dxa"/>
              <w:bottom w:w="70" w:type="dxa"/>
              <w:end w:w="90" w:type="dxa"/>
            </w:tcMar>
          </w:tcPr>
          <w:p>
            <w:pPr>
              <w:spacing w:after="0"/>
            </w:pPr>
            <w:r>
              <w:rPr>
                <w:color w:val="1F2937"/>
                <w:sz w:val="16"/>
              </w:rPr>
              <w:t>401 / invalid Chatwoot token</w:t>
            </w:r>
          </w:p>
        </w:tc>
        <w:tc>
          <w:tcPr>
            <w:tcW w:type="dxa" w:w="5328"/>
            <w:tcMar>
              <w:top w:w="70" w:type="dxa"/>
              <w:start w:w="90" w:type="dxa"/>
              <w:bottom w:w="70" w:type="dxa"/>
              <w:end w:w="90" w:type="dxa"/>
            </w:tcMar>
          </w:tcPr>
          <w:p>
            <w:pPr>
              <w:spacing w:after="0"/>
            </w:pPr>
            <w:r>
              <w:rPr>
                <w:color w:val="1F2937"/>
                <w:sz w:val="16"/>
              </w:rPr>
              <w:t>SUPPORT_PROVIDER_IDENTITY_INVALID</w:t>
            </w:r>
          </w:p>
        </w:tc>
      </w:tr>
      <w:tr>
        <w:trPr>
          <w:cantSplit/>
        </w:trPr>
        <w:tc>
          <w:tcPr>
            <w:tcW w:type="dxa" w:w="4320"/>
            <w:shd w:fill="F8FAFC"/>
            <w:tcMar>
              <w:top w:w="70" w:type="dxa"/>
              <w:start w:w="90" w:type="dxa"/>
              <w:bottom w:w="70" w:type="dxa"/>
              <w:end w:w="90" w:type="dxa"/>
            </w:tcMar>
          </w:tcPr>
          <w:p>
            <w:pPr>
              <w:spacing w:after="0"/>
            </w:pPr>
            <w:r>
              <w:rPr>
                <w:color w:val="1F2937"/>
                <w:sz w:val="16"/>
              </w:rPr>
              <w:t>403 / non-permissible resource</w:t>
            </w:r>
          </w:p>
        </w:tc>
        <w:tc>
          <w:tcPr>
            <w:tcW w:type="dxa" w:w="5328"/>
            <w:shd w:fill="F8FAFC"/>
            <w:tcMar>
              <w:top w:w="70" w:type="dxa"/>
              <w:start w:w="90" w:type="dxa"/>
              <w:bottom w:w="70" w:type="dxa"/>
              <w:end w:w="90" w:type="dxa"/>
            </w:tcMar>
          </w:tcPr>
          <w:p>
            <w:pPr>
              <w:spacing w:after="0"/>
            </w:pPr>
            <w:r>
              <w:rPr>
                <w:color w:val="1F2937"/>
                <w:sz w:val="16"/>
              </w:rPr>
              <w:t>SUPPORT_PROVIDER_ACCESS_DENIED</w:t>
            </w:r>
          </w:p>
        </w:tc>
      </w:tr>
      <w:tr>
        <w:trPr>
          <w:cantSplit/>
        </w:trPr>
        <w:tc>
          <w:tcPr>
            <w:tcW w:type="dxa" w:w="4320"/>
            <w:tcMar>
              <w:top w:w="70" w:type="dxa"/>
              <w:start w:w="90" w:type="dxa"/>
              <w:bottom w:w="70" w:type="dxa"/>
              <w:end w:w="90" w:type="dxa"/>
            </w:tcMar>
          </w:tcPr>
          <w:p>
            <w:pPr>
              <w:spacing w:after="0"/>
            </w:pPr>
            <w:r>
              <w:rPr>
                <w:color w:val="1F2937"/>
                <w:sz w:val="16"/>
              </w:rPr>
              <w:t>404 / unknown provider object</w:t>
            </w:r>
          </w:p>
        </w:tc>
        <w:tc>
          <w:tcPr>
            <w:tcW w:type="dxa" w:w="5328"/>
            <w:tcMar>
              <w:top w:w="70" w:type="dxa"/>
              <w:start w:w="90" w:type="dxa"/>
              <w:bottom w:w="70" w:type="dxa"/>
              <w:end w:w="90" w:type="dxa"/>
            </w:tcMar>
          </w:tcPr>
          <w:p>
            <w:pPr>
              <w:spacing w:after="0"/>
            </w:pPr>
            <w:r>
              <w:rPr>
                <w:color w:val="1F2937"/>
                <w:sz w:val="16"/>
              </w:rPr>
              <w:t>SUPPORT_CONVERSATION_NOT_FOUND</w:t>
            </w:r>
          </w:p>
        </w:tc>
      </w:tr>
      <w:tr>
        <w:trPr>
          <w:cantSplit/>
        </w:trPr>
        <w:tc>
          <w:tcPr>
            <w:tcW w:type="dxa" w:w="4320"/>
            <w:shd w:fill="F8FAFC"/>
            <w:tcMar>
              <w:top w:w="70" w:type="dxa"/>
              <w:start w:w="90" w:type="dxa"/>
              <w:bottom w:w="70" w:type="dxa"/>
              <w:end w:w="90" w:type="dxa"/>
            </w:tcMar>
          </w:tcPr>
          <w:p>
            <w:pPr>
              <w:spacing w:after="0"/>
            </w:pPr>
            <w:r>
              <w:rPr>
                <w:color w:val="1F2937"/>
                <w:sz w:val="16"/>
              </w:rPr>
              <w:t>409 / duplicate or state conflict</w:t>
            </w:r>
          </w:p>
        </w:tc>
        <w:tc>
          <w:tcPr>
            <w:tcW w:type="dxa" w:w="5328"/>
            <w:shd w:fill="F8FAFC"/>
            <w:tcMar>
              <w:top w:w="70" w:type="dxa"/>
              <w:start w:w="90" w:type="dxa"/>
              <w:bottom w:w="70" w:type="dxa"/>
              <w:end w:w="90" w:type="dxa"/>
            </w:tcMar>
          </w:tcPr>
          <w:p>
            <w:pPr>
              <w:spacing w:after="0"/>
            </w:pPr>
            <w:r>
              <w:rPr>
                <w:color w:val="1F2937"/>
                <w:sz w:val="16"/>
              </w:rPr>
              <w:t>SUPPORT_STATE_CONFLICT</w:t>
            </w:r>
          </w:p>
        </w:tc>
      </w:tr>
      <w:tr>
        <w:trPr>
          <w:cantSplit/>
        </w:trPr>
        <w:tc>
          <w:tcPr>
            <w:tcW w:type="dxa" w:w="4320"/>
            <w:tcMar>
              <w:top w:w="70" w:type="dxa"/>
              <w:start w:w="90" w:type="dxa"/>
              <w:bottom w:w="70" w:type="dxa"/>
              <w:end w:w="90" w:type="dxa"/>
            </w:tcMar>
          </w:tcPr>
          <w:p>
            <w:pPr>
              <w:spacing w:after="0"/>
            </w:pPr>
            <w:r>
              <w:rPr>
                <w:color w:val="1F2937"/>
                <w:sz w:val="16"/>
              </w:rPr>
              <w:t>429 / provider rate limit</w:t>
            </w:r>
          </w:p>
        </w:tc>
        <w:tc>
          <w:tcPr>
            <w:tcW w:type="dxa" w:w="5328"/>
            <w:tcMar>
              <w:top w:w="70" w:type="dxa"/>
              <w:start w:w="90" w:type="dxa"/>
              <w:bottom w:w="70" w:type="dxa"/>
              <w:end w:w="90" w:type="dxa"/>
            </w:tcMar>
          </w:tcPr>
          <w:p>
            <w:pPr>
              <w:spacing w:after="0"/>
            </w:pPr>
            <w:r>
              <w:rPr>
                <w:color w:val="1F2937"/>
                <w:sz w:val="16"/>
              </w:rPr>
              <w:t>SUPPORT_PROVIDER_RATE_LIMITED</w:t>
            </w:r>
          </w:p>
        </w:tc>
      </w:tr>
      <w:tr>
        <w:trPr>
          <w:cantSplit/>
        </w:trPr>
        <w:tc>
          <w:tcPr>
            <w:tcW w:type="dxa" w:w="4320"/>
            <w:shd w:fill="F8FAFC"/>
            <w:tcMar>
              <w:top w:w="70" w:type="dxa"/>
              <w:start w:w="90" w:type="dxa"/>
              <w:bottom w:w="70" w:type="dxa"/>
              <w:end w:w="90" w:type="dxa"/>
            </w:tcMar>
          </w:tcPr>
          <w:p>
            <w:pPr>
              <w:spacing w:after="0"/>
            </w:pPr>
            <w:r>
              <w:rPr>
                <w:color w:val="1F2937"/>
                <w:sz w:val="16"/>
              </w:rPr>
              <w:t>5xx / timeout</w:t>
            </w:r>
          </w:p>
        </w:tc>
        <w:tc>
          <w:tcPr>
            <w:tcW w:type="dxa" w:w="5328"/>
            <w:shd w:fill="F8FAFC"/>
            <w:tcMar>
              <w:top w:w="70" w:type="dxa"/>
              <w:start w:w="90" w:type="dxa"/>
              <w:bottom w:w="70" w:type="dxa"/>
              <w:end w:w="90" w:type="dxa"/>
            </w:tcMar>
          </w:tcPr>
          <w:p>
            <w:pPr>
              <w:spacing w:after="0"/>
            </w:pPr>
            <w:r>
              <w:rPr>
                <w:color w:val="1F2937"/>
                <w:sz w:val="16"/>
              </w:rPr>
              <w:t>SUPPORT_PROVIDER_UNAVAILABLE</w:t>
            </w:r>
          </w:p>
        </w:tc>
      </w:tr>
      <w:tr>
        <w:trPr>
          <w:cantSplit/>
        </w:trPr>
        <w:tc>
          <w:tcPr>
            <w:tcW w:type="dxa" w:w="4320"/>
            <w:tcMar>
              <w:top w:w="70" w:type="dxa"/>
              <w:start w:w="90" w:type="dxa"/>
              <w:bottom w:w="70" w:type="dxa"/>
              <w:end w:w="90" w:type="dxa"/>
            </w:tcMar>
          </w:tcPr>
          <w:p>
            <w:pPr>
              <w:spacing w:after="0"/>
            </w:pPr>
            <w:r>
              <w:rPr>
                <w:color w:val="1F2937"/>
                <w:sz w:val="16"/>
              </w:rPr>
              <w:t>Unexpected response schema</w:t>
            </w:r>
          </w:p>
        </w:tc>
        <w:tc>
          <w:tcPr>
            <w:tcW w:type="dxa" w:w="5328"/>
            <w:tcMar>
              <w:top w:w="70" w:type="dxa"/>
              <w:start w:w="90" w:type="dxa"/>
              <w:bottom w:w="70" w:type="dxa"/>
              <w:end w:w="90" w:type="dxa"/>
            </w:tcMar>
          </w:tcPr>
          <w:p>
            <w:pPr>
              <w:spacing w:after="0"/>
            </w:pPr>
            <w:r>
              <w:rPr>
                <w:color w:val="1F2937"/>
                <w:sz w:val="16"/>
              </w:rPr>
              <w:t>SUPPORT_PROVIDER_CONTRACT_ERROR</w:t>
            </w:r>
          </w:p>
        </w:tc>
      </w:tr>
    </w:tbl>
    <w:p>
      <w:pPr>
        <w:pStyle w:val="Heading1"/>
        <w:keepNext/>
        <w:keepLines/>
        <w:widowControl/>
      </w:pPr>
      <w:r>
        <w:t>Appendix B. Operational Checklist</w:t>
      </w:r>
    </w:p>
    <w:p>
      <w:pPr>
        <w:spacing w:after="40"/>
        <w:widowControl/>
      </w:pPr>
      <w:r>
        <w:rPr>
          <w:sz w:val="18"/>
        </w:rPr>
        <w:t>☐ Pinned version-specific CE image configured</w:t>
      </w:r>
    </w:p>
    <w:p>
      <w:pPr>
        <w:spacing w:after="40"/>
        <w:widowControl/>
      </w:pPr>
      <w:r>
        <w:rPr>
          <w:sz w:val="18"/>
        </w:rPr>
        <w:t>☐ enterprise/ excluded and verified</w:t>
      </w:r>
    </w:p>
    <w:p>
      <w:pPr>
        <w:spacing w:after="40"/>
        <w:widowControl/>
      </w:pPr>
      <w:r>
        <w:rPr>
          <w:sz w:val="18"/>
        </w:rPr>
        <w:t>☐ MIT and dependency notices archived</w:t>
      </w:r>
    </w:p>
    <w:p>
      <w:pPr>
        <w:spacing w:after="40"/>
        <w:widowControl/>
      </w:pPr>
      <w:r>
        <w:rPr>
          <w:sz w:val="18"/>
        </w:rPr>
        <w:t>☐ SBOM generated</w:t>
      </w:r>
    </w:p>
    <w:p>
      <w:pPr>
        <w:spacing w:after="40"/>
        <w:widowControl/>
      </w:pPr>
      <w:r>
        <w:rPr>
          <w:sz w:val="18"/>
        </w:rPr>
        <w:t>☐ PostgreSQL backups and restore test completed</w:t>
      </w:r>
    </w:p>
    <w:p>
      <w:pPr>
        <w:spacing w:after="40"/>
        <w:widowControl/>
      </w:pPr>
      <w:r>
        <w:rPr>
          <w:sz w:val="18"/>
        </w:rPr>
        <w:t>☐ Redis and worker monitoring configured</w:t>
      </w:r>
    </w:p>
    <w:p>
      <w:pPr>
        <w:spacing w:after="40"/>
        <w:widowControl/>
      </w:pPr>
      <w:r>
        <w:rPr>
          <w:sz w:val="18"/>
        </w:rPr>
        <w:t>☐ Object storage private and encrypted</w:t>
      </w:r>
    </w:p>
    <w:p>
      <w:pPr>
        <w:spacing w:after="40"/>
        <w:widowControl/>
      </w:pPr>
      <w:r>
        <w:rPr>
          <w:sz w:val="18"/>
        </w:rPr>
        <w:t>☐ Internal Chatwoot administrative hostname protected</w:t>
      </w:r>
    </w:p>
    <w:p>
      <w:pPr>
        <w:spacing w:after="40"/>
        <w:widowControl/>
      </w:pPr>
      <w:r>
        <w:rPr>
          <w:sz w:val="18"/>
        </w:rPr>
        <w:t>☐ Platform App token isolated</w:t>
      </w:r>
    </w:p>
    <w:p>
      <w:pPr>
        <w:spacing w:after="40"/>
        <w:widowControl/>
      </w:pPr>
      <w:r>
        <w:rPr>
          <w:sz w:val="18"/>
        </w:rPr>
        <w:t>☐ Agent tokens encrypted and rotated</w:t>
      </w:r>
    </w:p>
    <w:p>
      <w:pPr>
        <w:spacing w:after="40"/>
        <w:widowControl/>
      </w:pPr>
      <w:r>
        <w:rPr>
          <w:sz w:val="18"/>
        </w:rPr>
        <w:t>☐ Webhook HMAC and replay protection tested</w:t>
      </w:r>
    </w:p>
    <w:p>
      <w:pPr>
        <w:spacing w:after="40"/>
        <w:widowControl/>
      </w:pPr>
      <w:r>
        <w:rPr>
          <w:sz w:val="18"/>
        </w:rPr>
        <w:t>☐ Reconciliation scheduled</w:t>
      </w:r>
    </w:p>
    <w:p>
      <w:pPr>
        <w:spacing w:after="40"/>
        <w:widowControl/>
      </w:pPr>
      <w:r>
        <w:rPr>
          <w:sz w:val="18"/>
        </w:rPr>
        <w:t>☐ Cross-tenant tests passing</w:t>
      </w:r>
    </w:p>
    <w:p>
      <w:pPr>
        <w:spacing w:after="40"/>
        <w:widowControl/>
      </w:pPr>
      <w:r>
        <w:rPr>
          <w:sz w:val="18"/>
        </w:rPr>
        <w:t>☐ Inbound HTML sanitization enabled</w:t>
      </w:r>
    </w:p>
    <w:p>
      <w:pPr>
        <w:spacing w:after="40"/>
        <w:widowControl/>
      </w:pPr>
      <w:r>
        <w:rPr>
          <w:sz w:val="18"/>
        </w:rPr>
        <w:t>☐ Attachment malware scanning enabled</w:t>
      </w:r>
    </w:p>
    <w:p>
      <w:pPr>
        <w:spacing w:after="40"/>
        <w:widowControl/>
      </w:pPr>
      <w:r>
        <w:rPr>
          <w:sz w:val="18"/>
        </w:rPr>
        <w:t>☐ Rate limits and circuit breakers configured</w:t>
      </w:r>
    </w:p>
    <w:p>
      <w:pPr>
        <w:spacing w:after="40"/>
        <w:widowControl/>
      </w:pPr>
      <w:r>
        <w:rPr>
          <w:sz w:val="18"/>
        </w:rPr>
        <w:t>☐ Contract suite passes against production version</w:t>
      </w:r>
    </w:p>
    <w:p>
      <w:pPr>
        <w:spacing w:after="40"/>
        <w:widowControl/>
      </w:pPr>
      <w:r>
        <w:rPr>
          <w:sz w:val="18"/>
        </w:rPr>
        <w:t>☐ Upgrade and rollback runbook approved</w:t>
      </w:r>
    </w:p>
    <w:p>
      <w:pPr>
        <w:spacing w:after="40"/>
        <w:widowControl/>
      </w:pPr>
      <w:r>
        <w:rPr>
          <w:sz w:val="18"/>
        </w:rPr>
        <w:t>☐ Incident response ownership documented</w:t>
      </w:r>
    </w:p>
    <w:p>
      <w:pPr>
        <w:pStyle w:val="Heading1"/>
        <w:keepNext/>
        <w:keepLines/>
        <w:widowControl/>
      </w:pPr>
      <w:r>
        <w:t>Appendix C. Source References</w:t>
      </w:r>
    </w:p>
    <w:p>
      <w:pPr>
        <w:spacing w:after="80"/>
        <w:widowControl/>
      </w:pPr>
      <w:r>
        <w:rPr>
          <w:b/>
        </w:rPr>
        <w:t xml:space="preserve">[1] Chatwoot root license: </w:t>
      </w:r>
      <w:hyperlink r:id="rId11">
        <w:r>
          <w:rPr>
            <w:color w:val="0563C1"/>
            <w:u w:val="single"/>
          </w:rPr>
          <w:t>https://github.com/chatwoot/chatwoot/blob/develop/LICENSE</w:t>
        </w:r>
      </w:hyperlink>
    </w:p>
    <w:p>
      <w:pPr>
        <w:spacing w:after="80"/>
        <w:widowControl/>
      </w:pPr>
      <w:r>
        <w:rPr>
          <w:b/>
        </w:rPr>
        <w:t xml:space="preserve">[2] Chatwoot enterprise license: </w:t>
      </w:r>
      <w:hyperlink r:id="rId12">
        <w:r>
          <w:rPr>
            <w:color w:val="0563C1"/>
            <w:u w:val="single"/>
          </w:rPr>
          <w:t>https://github.com/chatwoot/chatwoot/blob/develop/enterprise/LICENSE</w:t>
        </w:r>
      </w:hyperlink>
    </w:p>
    <w:p>
      <w:pPr>
        <w:spacing w:after="80"/>
        <w:widowControl/>
      </w:pPr>
      <w:r>
        <w:rPr>
          <w:b/>
        </w:rPr>
        <w:t xml:space="preserve">[3] Chatwoot API families: </w:t>
      </w:r>
      <w:hyperlink r:id="rId13">
        <w:r>
          <w:rPr>
            <w:color w:val="0563C1"/>
            <w:u w:val="single"/>
          </w:rPr>
          <w:t>https://developers.chatwoot.com/contributing-guide/chatwoot-apis</w:t>
        </w:r>
      </w:hyperlink>
    </w:p>
    <w:p>
      <w:pPr>
        <w:spacing w:after="80"/>
        <w:widowControl/>
      </w:pPr>
      <w:r>
        <w:rPr>
          <w:b/>
        </w:rPr>
        <w:t xml:space="preserve">[4] Chatwoot Platform APIs: </w:t>
      </w:r>
      <w:hyperlink r:id="rId14">
        <w:r>
          <w:rPr>
            <w:color w:val="0563C1"/>
            <w:u w:val="single"/>
          </w:rPr>
          <w:t>https://developers.chatwoot.com/contributing-guide/chatwoot-platform-apis</w:t>
        </w:r>
      </w:hyperlink>
    </w:p>
    <w:p>
      <w:pPr>
        <w:spacing w:after="80"/>
        <w:widowControl/>
      </w:pPr>
      <w:r>
        <w:rPr>
          <w:b/>
        </w:rPr>
        <w:t xml:space="preserve">[5] Chatwoot webhook API and signature format: </w:t>
      </w:r>
      <w:hyperlink r:id="rId15">
        <w:r>
          <w:rPr>
            <w:color w:val="0563C1"/>
            <w:u w:val="single"/>
          </w:rPr>
          <w:t>https://developers.chatwoot.com/api-reference/webhooks/add-a-webhook</w:t>
        </w:r>
      </w:hyperlink>
    </w:p>
    <w:p>
      <w:pPr>
        <w:spacing w:after="80"/>
        <w:widowControl/>
      </w:pPr>
      <w:r>
        <w:rPr>
          <w:b/>
        </w:rPr>
        <w:t xml:space="preserve">[6] Chatwoot Docker deployment, upgrades, and CE tags: </w:t>
      </w:r>
      <w:hyperlink r:id="rId16">
        <w:r>
          <w:rPr>
            <w:color w:val="0563C1"/>
            <w:u w:val="single"/>
          </w:rPr>
          <w:t>https://developers.chatwoot.com/self-hosted/deployment/docker</w:t>
        </w:r>
      </w:hyperlink>
    </w:p>
    <w:p>
      <w:pPr>
        <w:spacing w:after="80"/>
        <w:widowControl/>
      </w:pPr>
      <w:r>
        <w:rPr>
          <w:b/>
        </w:rPr>
        <w:t xml:space="preserve">[7] Chatwoot premium feature configuration: </w:t>
      </w:r>
      <w:hyperlink r:id="rId17">
        <w:r>
          <w:rPr>
            <w:color w:val="0563C1"/>
            <w:u w:val="single"/>
          </w:rPr>
          <w:t>https://github.com/chatwoot/chatwoot/blob/develop/enterprise/config/premium_features.yml</w:t>
        </w:r>
      </w:hyperlink>
    </w:p>
    <w:p>
      <w:pPr>
        <w:spacing w:after="80"/>
        <w:widowControl/>
      </w:pPr>
      <w:r>
        <w:rPr>
          <w:b/>
        </w:rPr>
        <w:t xml:space="preserve">[8] Chatwoot self-hosted plan comparison: </w:t>
      </w:r>
      <w:hyperlink r:id="rId18">
        <w:r>
          <w:rPr>
            <w:color w:val="0563C1"/>
            <w:u w:val="single"/>
          </w:rPr>
          <w:t>https://www.chatwoot.com/pricing/self-hosted-plans</w:t>
        </w:r>
      </w:hyperlink>
    </w:p>
    <w:p>
      <w:pPr>
        <w:spacing w:after="80"/>
        <w:widowControl/>
      </w:pPr>
      <w:r>
        <w:rPr>
          <w:b/>
        </w:rPr>
        <w:t xml:space="preserve">[9] Chatwoot API reference introduction: </w:t>
      </w:r>
      <w:hyperlink r:id="rId19">
        <w:r>
          <w:rPr>
            <w:color w:val="0563C1"/>
            <w:u w:val="single"/>
          </w:rPr>
          <w:t>https://developers.chatwoot.com/api-reference/introduction</w:t>
        </w:r>
      </w:hyperlink>
    </w:p>
    <w:p>
      <w:pPr>
        <w:spacing w:after="80"/>
        <w:widowControl/>
      </w:pPr>
      <w:r>
        <w:rPr>
          <w:b/>
        </w:rPr>
        <w:t xml:space="preserve">[10] Chatwoot repository: </w:t>
      </w:r>
      <w:hyperlink r:id="rId20">
        <w:r>
          <w:rPr>
            <w:color w:val="0563C1"/>
            <w:u w:val="single"/>
          </w:rPr>
          <w:t>https://github.com/chatwoot/chatwoot</w:t>
        </w:r>
      </w:hyperlink>
    </w:p>
    <w:p>
      <w:pPr>
        <w:pStyle w:val="SmallText"/>
        <w:widowControl/>
      </w:pPr>
      <w:r>
        <w:t>Source state was reviewed for this specification on July 20, 2026. Chatwoot code, documentation, pricing, and license terms may change; revalidate the selected release and terms before production distribution or upgrade.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4748B"/>
        <w:sz w:val="16"/>
      </w:rPr>
      <w:t>Proprietary Application Integration  |  Version 1.0  |  July 20, 2026</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4748B"/>
        <w:sz w:val="16"/>
      </w:rPr>
      <w:t>CHATWOOT HEADLESS INTEGRATION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Liberation Sans" w:hAnsi="Liberation Sans" w:eastAsia="Liberation Sans"/>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Liberation Sans" w:hAnsi="Liberation Sans" w:eastAsia="Liberation Sans"/>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hatwoot/chatwoot/blob/develop/LICENSE" TargetMode="External"/><Relationship Id="rId12" Type="http://schemas.openxmlformats.org/officeDocument/2006/relationships/hyperlink" Target="https://github.com/chatwoot/chatwoot/blob/develop/enterprise/LICENSE" TargetMode="External"/><Relationship Id="rId13" Type="http://schemas.openxmlformats.org/officeDocument/2006/relationships/hyperlink" Target="https://developers.chatwoot.com/contributing-guide/chatwoot-apis" TargetMode="External"/><Relationship Id="rId14" Type="http://schemas.openxmlformats.org/officeDocument/2006/relationships/hyperlink" Target="https://developers.chatwoot.com/contributing-guide/chatwoot-platform-apis" TargetMode="External"/><Relationship Id="rId15" Type="http://schemas.openxmlformats.org/officeDocument/2006/relationships/hyperlink" Target="https://developers.chatwoot.com/api-reference/webhooks/add-a-webhook" TargetMode="External"/><Relationship Id="rId16" Type="http://schemas.openxmlformats.org/officeDocument/2006/relationships/hyperlink" Target="https://developers.chatwoot.com/self-hosted/deployment/docker" TargetMode="External"/><Relationship Id="rId17" Type="http://schemas.openxmlformats.org/officeDocument/2006/relationships/hyperlink" Target="https://github.com/chatwoot/chatwoot/blob/develop/enterprise/config/premium_features.yml" TargetMode="External"/><Relationship Id="rId18" Type="http://schemas.openxmlformats.org/officeDocument/2006/relationships/hyperlink" Target="https://www.chatwoot.com/pricing/self-hosted-plans" TargetMode="External"/><Relationship Id="rId19" Type="http://schemas.openxmlformats.org/officeDocument/2006/relationships/hyperlink" Target="https://developers.chatwoot.com/api-reference/introduction" TargetMode="External"/><Relationship Id="rId20" Type="http://schemas.openxmlformats.org/officeDocument/2006/relationships/hyperlink" Target="https://github.com/chatwoot/chatw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Chatwoot Headless Integration Specification</dc:title>
  <dc:subject>Implementation of Chatwoot Community Edition in a proprietary React / Next.js / Node.js application</dc:subject>
  <dc:creator>OpenAI</dc:creator>
  <cp:keywords>Chatwoot, Community Edition, Next.js, Node.js, headless, API, webhook, licensing, proprietary application</cp:keywords>
  <dc:description>Consolidated technical specification generated from Chatwoot-focused architecture and licensing analysis.</dc:description>
  <cp:lastModifiedBy/>
  <cp:revision>1</cp:revision>
  <dcterms:created xsi:type="dcterms:W3CDTF">2013-12-23T23:15:00Z</dcterms:created>
  <dcterms:modified xsi:type="dcterms:W3CDTF">2013-12-23T23:15:00Z</dcterms:modified>
  <cp:category/>
</cp:coreProperties>
</file>