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Vendor Linking Project Plan</w:t>
      </w:r>
    </w:p>
    <w:p w:rsidR="00000000" w:rsidDel="00000000" w:rsidP="00000000" w:rsidRDefault="00000000" w:rsidRPr="00000000" w14:paraId="0000000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qx0d2z9uj58" w:id="0"/>
      <w:bookmarkEnd w:id="0"/>
      <w:r w:rsidDel="00000000" w:rsidR="00000000" w:rsidRPr="00000000">
        <w:rPr>
          <w:rtl w:val="0"/>
        </w:rPr>
        <w:t xml:space="preserve">Estimate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vendor linking feature, including researching time and implementation time, should take roughly 70 hours for vendor linking through an API/web crawler and roughly 70 hours for vendor linking through a vendor account. Testing will approximately take 30 hours.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Total time is roughly 170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bye9qvynlke" w:id="1"/>
      <w:bookmarkEnd w:id="1"/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retrieval must only show the current vendor’s information.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access should be limited to the vendor’s information only.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Parameterized queries must be used to prevent malicious users.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a good UI/UX by making sure everything is fully tested.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user access control correctly provides access to vendor account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5x74xkuir6o" w:id="2"/>
      <w:bookmarkEnd w:id="2"/>
      <w:r w:rsidDel="00000000" w:rsidR="00000000" w:rsidRPr="00000000">
        <w:rPr>
          <w:rtl w:val="0"/>
        </w:rPr>
        <w:t xml:space="preserve">Interactions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Logging, login, network communication, datastore access, registration, and user access control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