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right"/>
        <w:bidi w:val="1"/>
      </w:pPr>
      <w:r>
        <w:rPr>
          <w:rFonts w:ascii="Dubai" w:hAnsi="Dubai" w:cs="Dubai"/>
          <w:b w:val="0"/>
          <w:i w:val="0"/>
          <w:color w:val="7F8C8D"/>
          <w:sz w:val="19"/>
          <w:rtl w:val="1"/>
          <w:szCs w:val="19"/>
        </w:rPr>
        <w:t>🎓 جزوه خلاصه مرور فیزیوپاتولوژی | Medical Study &amp; High-Yield Revision Guide</w:t>
      </w:r>
    </w:p>
    <w:p>
      <w:pPr>
        <w:spacing w:before="80" w:after="120" w:line="276" w:lineRule="auto"/>
        <w:jc w:val="right"/>
        <w:bidi w:val="1"/>
      </w:pPr>
      <w:r>
        <w:rPr>
          <w:rFonts w:ascii="Dubai" w:hAnsi="Dubai" w:cs="Dubai"/>
          <w:b/>
          <w:i w:val="0"/>
          <w:color w:val="78281F"/>
          <w:sz w:val="32"/>
          <w:rtl w:val="1"/>
          <w:szCs w:val="32"/>
          <w:bCs/>
        </w:rPr>
        <w:t>🩺 نارسایی احتقانی قلب</w:t>
      </w:r>
      <w:r>
        <w:rPr>
          <w:rFonts w:ascii="Dubai" w:hAnsi="Dubai" w:cs="Dubai"/>
          <w:b/>
          <w:i w:val="0"/>
          <w:color w:val="0E6251"/>
          <w:sz w:val="26"/>
          <w:rtl w:val="0"/>
          <w:szCs w:val="26"/>
          <w:bCs/>
        </w:rPr>
        <w:t xml:space="preserve">  (Congestive Heart Failure (HF))</w:t>
      </w:r>
    </w:p>
    <w:p>
      <w:pPr>
        <w:spacing w:before="0" w:after="240" w:line="276" w:lineRule="auto"/>
        <w:jc w:val="right"/>
        <w:bidi w:val="1"/>
      </w:pPr>
      <w:r>
        <w:rPr>
          <w:rFonts w:ascii="Dubai" w:hAnsi="Dubai" w:cs="Dubai"/>
          <w:b w:val="0"/>
          <w:i w:val="0"/>
          <w:color w:val="7F8C8D"/>
          <w:sz w:val="20"/>
          <w:rtl w:val="1"/>
          <w:szCs w:val="20"/>
        </w:rPr>
        <w:t>📌 کورس: قلب و عروق (Cardiovascular System)  |  🎯 سطح: فیزیوپاتولوژی بالینی  |  ⚡ نوع سند: مرور های‌یلد و شب امتحان</w:t>
      </w:r>
    </w:p>
    <w:p>
      <w:pPr>
        <w:spacing w:before="280" w:after="120" w:line="276" w:lineRule="auto"/>
        <w:jc w:val="right"/>
        <w:bidi w:val="1"/>
      </w:pPr>
      <w:r>
        <w:rPr>
          <w:rFonts w:ascii="Dubai" w:hAnsi="Dubai" w:cs="Dubai"/>
          <w:b/>
          <w:i w:val="0"/>
          <w:color w:val="78281F"/>
          <w:sz w:val="27"/>
          <w:rtl w:val="1"/>
          <w:szCs w:val="27"/>
          <w:bCs/>
        </w:rPr>
        <w:t>■ نارسایی سیستولیک در برابر دیاستولیک</w:t>
      </w:r>
      <w:r>
        <w:rPr>
          <w:rFonts w:ascii="Dubai" w:hAnsi="Dubai" w:cs="Dubai"/>
          <w:b/>
          <w:i w:val="0"/>
          <w:color w:val="0E6251"/>
          <w:sz w:val="24"/>
          <w:rtl w:val="0"/>
          <w:szCs w:val="24"/>
          <w:bCs/>
        </w:rPr>
        <w:t xml:space="preserve">  (HFrEF vs HFpEF)</w:t>
      </w:r>
    </w:p>
    <w:p>
      <w:pPr>
        <w:spacing w:before="120" w:after="60" w:line="276" w:lineRule="auto"/>
        <w:jc w:val="right"/>
        <w:bidi w:val="1"/>
      </w:pPr>
      <w:r>
        <w:rPr>
          <w:rFonts w:ascii="Dubai" w:hAnsi="Dubai" w:cs="Dubai"/>
          <w:b/>
          <w:i w:val="0"/>
          <w:color w:val="0E6251"/>
          <w:sz w:val="22"/>
          <w:rtl w:val="1"/>
          <w:szCs w:val="22"/>
          <w:bCs/>
        </w:rPr>
        <w:t>۱. تعریف و اتیولوژی (Definition &amp; Etiology)</w:t>
      </w:r>
    </w:p>
    <w:p>
      <w:pPr>
        <w:spacing w:before="20" w:after="60" w:line="276" w:lineRule="auto"/>
        <w:jc w:val="right"/>
        <w:bidi w:val="1"/>
      </w:pPr>
      <w:r>
        <w:rPr>
          <w:rFonts w:ascii="Dubai" w:hAnsi="Dubai" w:cs="Dubai"/>
          <w:b/>
          <w:i w:val="0"/>
          <w:color w:val="0E6251"/>
          <w:sz w:val="21"/>
          <w:rtl w:val="1"/>
          <w:szCs w:val="21"/>
          <w:bCs/>
        </w:rPr>
        <w:t xml:space="preserve">•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نارسایی قلبی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(Heart Failure)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: ناتوانی قلب در پمپاژ کافی خون متناسب با نیازهای متابولیک بافت‌ها یا انجام آن در فشار پرشدگی غیرطبیعی بالا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(Elevated Filling Pressures)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>.</w:t>
      </w:r>
    </w:p>
    <w:p>
      <w:pPr>
        <w:spacing w:before="20" w:after="60" w:line="276" w:lineRule="auto"/>
        <w:jc w:val="right"/>
        <w:bidi w:val="1"/>
      </w:pPr>
      <w:r>
        <w:rPr>
          <w:rFonts w:ascii="Dubai" w:hAnsi="Dubai" w:cs="Dubai"/>
          <w:b/>
          <w:i w:val="0"/>
          <w:color w:val="0E6251"/>
          <w:sz w:val="21"/>
          <w:rtl w:val="1"/>
          <w:szCs w:val="21"/>
          <w:bCs/>
        </w:rPr>
        <w:t xml:space="preserve">•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نارسایی سیستولیک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(HFrEF - Heart Failure with reduced Ejection Fraction)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: اختلال در قدرت انقباضی میوکارد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(Contractility)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با کسر تخلیه‌ای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EF ≤ 40%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؛ شایع‌ترین علت آن بیماری ایسکمیک قلب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(IHD / Post-MI)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و کاردیومیوپاتی دیلاته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(DCM)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است.</w:t>
      </w:r>
    </w:p>
    <w:p>
      <w:pPr>
        <w:spacing w:before="20" w:after="60" w:line="276" w:lineRule="auto"/>
        <w:jc w:val="right"/>
        <w:bidi w:val="1"/>
      </w:pPr>
      <w:r>
        <w:rPr>
          <w:rFonts w:ascii="Dubai" w:hAnsi="Dubai" w:cs="Dubai"/>
          <w:b/>
          <w:i w:val="0"/>
          <w:color w:val="0E6251"/>
          <w:sz w:val="21"/>
          <w:rtl w:val="1"/>
          <w:szCs w:val="21"/>
          <w:bCs/>
        </w:rPr>
        <w:t xml:space="preserve">•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نارسایی دیاستولیک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(HFpEF - Heart Failure with preserved Ejection Fraction)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>: اختلال در شل‌شدن بطن و پرشدگی دیاستولیک (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Impaired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Relaxation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&amp;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Compliance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) با کسر تخلیه‌ای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EF ≥ 50%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؛ شایع‌ترین علت آن پرفشاری خون مزمن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(Chronic HTN)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و هایپرتروفی بطن چپ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(LVH)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در سالمندان است.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EBF5FB"/>
            <w:tcBorders>
              <w:top w:val="single" w:sz="12" w:color="85C1E9"/>
              <w:left w:val="single" w:sz="12" w:color="85C1E9"/>
              <w:right w:val="single" w:sz="12" w:color="85C1E9"/>
              <w:bottom w:val="none"/>
            </w:tcBorders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22"/>
                <w:rtl w:val="1"/>
                <w:szCs w:val="22"/>
                <w:bCs/>
              </w:rPr>
              <w:t>🔄 ۲. زنجیره و فلوچارت مکانیسم پاتوفیزیولوژی (Pathophysiological Cascade)</w:t>
            </w:r>
          </w:p>
        </w:tc>
      </w:tr>
      <w:tr>
        <w:tc>
          <w:tcPr>
            <w:tcW w:type="dxa" w:w="9360"/>
            <w:tcMar>
              <w:top w:w="160" w:type="dxa"/>
              <w:bottom w:w="160" w:type="dxa"/>
              <w:left w:w="180" w:type="dxa"/>
              <w:right w:w="180" w:type="dxa"/>
            </w:tcMar>
            <w:shd w:fill="FFFFFF"/>
            <w:tcBorders>
              <w:top w:val="none"/>
              <w:left w:val="single" w:sz="12" w:color="85C1E9"/>
              <w:right w:val="single" w:sz="12" w:color="85C1E9"/>
              <w:bottom w:val="single" w:sz="12" w:color="85C1E9"/>
            </w:tcBorders>
          </w:tcPr>
          <w:p>
            <w:pPr>
              <w:spacing w:before="40" w:after="7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21"/>
                <w:rtl w:val="1"/>
                <w:szCs w:val="21"/>
                <w:bCs/>
              </w:rPr>
              <w:t xml:space="preserve">•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افت اولیه برون‌ده قلبی (↓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Cardiac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Output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>) ناشی از آسیب میوسیت‌ها</w:t>
            </w:r>
          </w:p>
          <w:p>
            <w:pPr>
              <w:spacing w:before="40" w:after="7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21"/>
                <w:rtl w:val="1"/>
                <w:szCs w:val="21"/>
                <w:bCs/>
              </w:rPr>
              <w:t xml:space="preserve">•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فعال‌سازی سیستم عصبی سمپاتیک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(SNS Activation)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 ← تاکی‌کاردی و افزایش انقباض‌پذیری</w:t>
            </w:r>
          </w:p>
          <w:p>
            <w:pPr>
              <w:spacing w:before="40" w:after="7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21"/>
                <w:rtl w:val="1"/>
                <w:szCs w:val="21"/>
                <w:bCs/>
              </w:rPr>
              <w:t xml:space="preserve">•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افت خون‌رسانی کلیوی و فعال‌سازی محور رنین-آنژیوتانسین-آلدوسترون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(RAAS Activation) </w:t>
            </w:r>
          </w:p>
          <w:p>
            <w:pPr>
              <w:spacing w:before="40" w:after="7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21"/>
                <w:rtl w:val="1"/>
                <w:szCs w:val="21"/>
                <w:bCs/>
              </w:rPr>
              <w:t xml:space="preserve">•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افزایش آنژیوتانسین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II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 (انقباض شریانی و افزایش پس‌بار /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Afterload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) و آلدوسترون (احتباس سدیم و آب و افزایش پیش‌بار /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Preload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>)</w:t>
            </w:r>
          </w:p>
          <w:p>
            <w:pPr>
              <w:spacing w:before="40" w:after="7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21"/>
                <w:rtl w:val="1"/>
                <w:szCs w:val="21"/>
                <w:bCs/>
              </w:rPr>
              <w:t xml:space="preserve">•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تغییر شکل ساختاری بطن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(Ventricular Remodeling)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 همراه با آپوپتوز میوسیت‌ها و فیبروز بینابینی</w:t>
            </w:r>
          </w:p>
          <w:p>
            <w:pPr>
              <w:spacing w:before="40" w:after="7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21"/>
                <w:rtl w:val="1"/>
                <w:szCs w:val="21"/>
                <w:bCs/>
              </w:rPr>
              <w:t xml:space="preserve">•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ترشح پپتیدهای ناتریورتیک دهلیزی و بطنی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(ANP / BNP)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 در پاسخ به اتساع دیواره‌ها جهت مقابله با احتباس مایع</w:t>
            </w:r>
          </w:p>
        </w:tc>
      </w:tr>
    </w:tbl>
    <w:p>
      <w:pPr>
        <w:spacing w:before="0" w:after="120" w:line="276" w:lineRule="auto"/>
        <w:jc w:val="right"/>
        <w:bidi w:val="1"/>
      </w:pPr>
    </w:p>
    <w:p>
      <w:pPr>
        <w:spacing w:before="120" w:after="60" w:line="276" w:lineRule="auto"/>
        <w:jc w:val="right"/>
        <w:bidi w:val="1"/>
      </w:pPr>
      <w:r>
        <w:rPr>
          <w:rFonts w:ascii="Dubai" w:hAnsi="Dubai" w:cs="Dubai"/>
          <w:b/>
          <w:i w:val="0"/>
          <w:color w:val="0E6251"/>
          <w:sz w:val="22"/>
          <w:rtl w:val="1"/>
          <w:szCs w:val="22"/>
          <w:bCs/>
        </w:rPr>
        <w:t>۳. تظاهرات بالینی و توجیه مکانیسمی (Clinical Presentation &amp; Signs)</w:t>
      </w:r>
    </w:p>
    <w:p>
      <w:pPr>
        <w:spacing w:before="20" w:after="60" w:line="276" w:lineRule="auto"/>
        <w:jc w:val="right"/>
        <w:bidi w:val="1"/>
      </w:pPr>
      <w:r>
        <w:rPr>
          <w:rFonts w:ascii="Dubai" w:hAnsi="Dubai" w:cs="Dubai"/>
          <w:b/>
          <w:i w:val="0"/>
          <w:color w:val="78281F"/>
          <w:sz w:val="21"/>
          <w:rtl w:val="1"/>
          <w:szCs w:val="21"/>
          <w:bCs/>
        </w:rPr>
        <w:t xml:space="preserve">• تنگی نفس ارتوپنه و PND (Paroxysmal Nocturnal Dyspnea):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علت فیزیوپاتولوژیک ← بازگشت خون وریدی از اندام‌ها به توراکس در حالت خوابیده ← افزایش احتقان مویرگ‌های ریوی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(Pulmonary Capillary Wedge Pressure)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و خروج مایع به بینابین آلوئول‌ها.</w:t>
      </w:r>
    </w:p>
    <w:p>
      <w:pPr>
        <w:spacing w:before="20" w:after="60" w:line="276" w:lineRule="auto"/>
        <w:jc w:val="right"/>
        <w:bidi w:val="1"/>
      </w:pPr>
      <w:r>
        <w:rPr>
          <w:rFonts w:ascii="Dubai" w:hAnsi="Dubai" w:cs="Dubai"/>
          <w:b/>
          <w:i w:val="0"/>
          <w:color w:val="78281F"/>
          <w:sz w:val="21"/>
          <w:rtl w:val="1"/>
          <w:szCs w:val="21"/>
          <w:bCs/>
        </w:rPr>
        <w:t xml:space="preserve">• صدای سوم قلب (S3 Gallop):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علت فیزیوپاتولوژیک ← ورود پرفشار و سریع خون از دهلیز به داخل بطن متسع، پر از مایع و با کمپلیانس ضعیف در ابتدای دیاستول (شاخص کلیدی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HFrEF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و حجم بیش‌ازحد مایع).</w:t>
      </w:r>
    </w:p>
    <w:p>
      <w:pPr>
        <w:spacing w:before="20" w:after="60" w:line="276" w:lineRule="auto"/>
        <w:jc w:val="right"/>
        <w:bidi w:val="1"/>
      </w:pPr>
      <w:r>
        <w:rPr>
          <w:rFonts w:ascii="Dubai" w:hAnsi="Dubai" w:cs="Dubai"/>
          <w:b/>
          <w:i w:val="0"/>
          <w:color w:val="78281F"/>
          <w:sz w:val="21"/>
          <w:rtl w:val="1"/>
          <w:szCs w:val="21"/>
          <w:bCs/>
        </w:rPr>
        <w:t xml:space="preserve">• صدای چهارم قلب (S4 Gallop):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علت فیزیوپاتولوژیک ← انقباض دهلیزی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(Atrial Kick)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در انتهای دیاستول در برابر یک بطن سفت، ضخیم و غیرمنعطف (شاخص کلیدی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HFpEF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و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LVH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شدید).</w:t>
      </w:r>
    </w:p>
    <w:p>
      <w:pPr>
        <w:spacing w:before="20" w:after="60" w:line="276" w:lineRule="auto"/>
        <w:jc w:val="right"/>
        <w:bidi w:val="1"/>
      </w:pPr>
      <w:r>
        <w:rPr>
          <w:rFonts w:ascii="Dubai" w:hAnsi="Dubai" w:cs="Dubai"/>
          <w:b/>
          <w:i w:val="0"/>
          <w:color w:val="78281F"/>
          <w:sz w:val="21"/>
          <w:rtl w:val="1"/>
          <w:szCs w:val="21"/>
          <w:bCs/>
        </w:rPr>
        <w:t xml:space="preserve">• برجستگی ورید ژوگولار (JVD) و هپاتومگالی احتقانی: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علت فیزیوپاتولوژیک ← نارسایی عملکرد بطن راست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(Right Heart Failure)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← افزایش فشار دهلیز راست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(CVP)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و پس‌زدگی خون به سیستم وریدی سیستمیک.</w:t>
      </w:r>
    </w:p>
    <w:p>
      <w:pPr>
        <w:spacing w:before="120" w:after="60" w:line="276" w:lineRule="auto"/>
        <w:jc w:val="right"/>
        <w:bidi w:val="1"/>
      </w:pPr>
      <w:r>
        <w:rPr>
          <w:rFonts w:ascii="Dubai" w:hAnsi="Dubai" w:cs="Dubai"/>
          <w:b/>
          <w:i w:val="0"/>
          <w:color w:val="0E6251"/>
          <w:sz w:val="22"/>
          <w:rtl w:val="1"/>
          <w:szCs w:val="22"/>
          <w:bCs/>
        </w:rPr>
        <w:t>۴. بررسی‌های پاراکلینیک و تشخیصی (Diagnostic Workup)</w:t>
      </w:r>
    </w:p>
    <w:p>
      <w:pPr>
        <w:spacing w:before="20" w:after="40" w:line="276" w:lineRule="auto"/>
        <w:jc w:val="right"/>
        <w:bidi w:val="1"/>
      </w:pPr>
      <w:r>
        <w:rPr>
          <w:rFonts w:ascii="Dubai" w:hAnsi="Dubai" w:cs="Dubai"/>
          <w:b/>
          <w:i w:val="0"/>
          <w:color w:val="78281F"/>
          <w:sz w:val="21"/>
          <w:rtl w:val="1"/>
          <w:szCs w:val="21"/>
          <w:bCs/>
        </w:rPr>
        <w:t xml:space="preserve">🔹 اقدام تشخیصی نخستین (Best Next Step / Initial):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اندازه‌گیری پپتید ناتریورتیک مغزی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(NT-proBNP / BNP)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به همراه نوار قلب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(ECG)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و رادیوگرافی قفسه سینه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(CXR)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>.</w:t>
      </w:r>
    </w:p>
    <w:p>
      <w:pPr>
        <w:spacing w:before="20" w:after="40" w:line="276" w:lineRule="auto"/>
        <w:jc w:val="right"/>
        <w:bidi w:val="1"/>
      </w:pPr>
      <w:r>
        <w:rPr>
          <w:rFonts w:ascii="Dubai" w:hAnsi="Dubai" w:cs="Dubai"/>
          <w:b/>
          <w:i w:val="0"/>
          <w:color w:val="0E6251"/>
          <w:sz w:val="21"/>
          <w:rtl w:val="1"/>
          <w:szCs w:val="21"/>
          <w:bCs/>
        </w:rPr>
        <w:t xml:space="preserve">⭐ استاندارد طلایی و قطعی (Gold Standard):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اکوکاردیوگرافی ترنس‌توراسیک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(TTE)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جهت ارزیابی دقیق کسر تخلیه‌ای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(LVEF)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>، اختلال حرکتی دیواره‌ها و ارزیابی دیاستولیک.</w:t>
      </w:r>
    </w:p>
    <w:p>
      <w:pPr>
        <w:spacing w:before="20" w:after="40" w:line="276" w:lineRule="auto"/>
        <w:jc w:val="right"/>
        <w:bidi w:val="1"/>
      </w:pPr>
      <w:r>
        <w:rPr>
          <w:rFonts w:ascii="Dubai" w:hAnsi="Dubai" w:cs="Dubai"/>
          <w:b/>
          <w:i w:val="0"/>
          <w:color w:val="7F8C8D"/>
          <w:sz w:val="21"/>
          <w:rtl w:val="1"/>
          <w:szCs w:val="21"/>
          <w:bCs/>
        </w:rPr>
        <w:t xml:space="preserve">•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سطح سرمی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BNP &lt; 100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pg/mL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یا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NT-proBNP &lt; 300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pg/mL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نارسایی حاد قلبی را با ارزش اخباری منفی بالای ۹۸٪ رد می‌کند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(Rule-out Test)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>.</w:t>
      </w:r>
    </w:p>
    <w:p>
      <w:pPr>
        <w:spacing w:before="20" w:after="40" w:line="276" w:lineRule="auto"/>
        <w:jc w:val="right"/>
        <w:bidi w:val="1"/>
      </w:pPr>
      <w:r>
        <w:rPr>
          <w:rFonts w:ascii="Dubai" w:hAnsi="Dubai" w:cs="Dubai"/>
          <w:b/>
          <w:i w:val="0"/>
          <w:color w:val="7F8C8D"/>
          <w:sz w:val="21"/>
          <w:rtl w:val="1"/>
          <w:szCs w:val="21"/>
          <w:bCs/>
        </w:rPr>
        <w:t xml:space="preserve">•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یافته‌های رادیوگرافی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(CXR)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: خطوط کرل بی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(Kerley B lines)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>، کاردیومگالی (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Cardiothoracic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Ratio &gt; 0.5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) و بازتوزیع عروق به آپکس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(Cephalization)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>.</w:t>
      </w:r>
    </w:p>
    <w:p>
      <w:pPr>
        <w:spacing w:before="120" w:after="60" w:line="276" w:lineRule="auto"/>
        <w:jc w:val="right"/>
        <w:bidi w:val="1"/>
      </w:pPr>
      <w:r>
        <w:rPr>
          <w:rFonts w:ascii="Dubai" w:hAnsi="Dubai" w:cs="Dubai"/>
          <w:b/>
          <w:i w:val="0"/>
          <w:color w:val="0E6251"/>
          <w:sz w:val="22"/>
          <w:rtl w:val="1"/>
          <w:szCs w:val="22"/>
          <w:bCs/>
        </w:rPr>
        <w:t>۵. اصول فارماکولوژی و درمان مبتنی بر مکانیسم (Mechanism-Based Rx)</w:t>
      </w:r>
    </w:p>
    <w:p>
      <w:pPr>
        <w:spacing w:before="20" w:after="60" w:line="276" w:lineRule="auto"/>
        <w:jc w:val="right"/>
        <w:bidi w:val="1"/>
      </w:pPr>
      <w:r>
        <w:rPr>
          <w:rFonts w:ascii="Dubai" w:hAnsi="Dubai" w:cs="Dubai"/>
          <w:b/>
          <w:i w:val="0"/>
          <w:color w:val="78281F"/>
          <w:sz w:val="21"/>
          <w:rtl w:val="1"/>
          <w:szCs w:val="21"/>
          <w:bCs/>
        </w:rPr>
        <w:t xml:space="preserve">💊 دسته دارویی مهارکننده‌های سیستم رنین-آنژیوتانسین (ARNI / ACEi):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مکانیسم عمل: مهار بازجذب سدیم و وازوکانستریکشن + مهار تخریب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ANP/BNP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توسط ساکوبیتریل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(Neprilysin Inhibitor)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← کاهش مورتالیتی در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HFrEF.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| نکته کلیدی: شروع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ACEi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با ساکوبیتریل نیازمند ۳۶ ساعت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Washout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Period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است تا ریسک آنژیوادم کشنده پیشگیری شود.</w:t>
      </w:r>
    </w:p>
    <w:p>
      <w:pPr>
        <w:spacing w:before="20" w:after="60" w:line="276" w:lineRule="auto"/>
        <w:jc w:val="right"/>
        <w:bidi w:val="1"/>
      </w:pPr>
      <w:r>
        <w:rPr>
          <w:rFonts w:ascii="Dubai" w:hAnsi="Dubai" w:cs="Dubai"/>
          <w:b/>
          <w:i w:val="0"/>
          <w:color w:val="78281F"/>
          <w:sz w:val="21"/>
          <w:rtl w:val="1"/>
          <w:szCs w:val="21"/>
          <w:bCs/>
        </w:rPr>
        <w:t xml:space="preserve">💊 دسته دارویی بتابلوکرهای مهارکننده اختصاصی (Carvedilol, Metoprolol Succinate, Bisoprolol):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>مکانیسم عمل: محافظت در برابر اثرات سمی کاتکول‌آمین‌های مزمن، کاهش آپوپتوز میوسیت‌ها و مهار تاکی‌کاردی ناشی از سمپاتیک. | نکته کلیدی: تنها در بیماران همودینامیک پایدار بدون اضافه بار مایع حاد شروع می‌شود (هرگز در فاز نارسایی دکامپانسه حاد شروع یا افزایش دوز داده نشود).</w:t>
      </w:r>
    </w:p>
    <w:p>
      <w:pPr>
        <w:spacing w:before="20" w:after="60" w:line="276" w:lineRule="auto"/>
        <w:jc w:val="right"/>
        <w:bidi w:val="1"/>
      </w:pPr>
      <w:r>
        <w:rPr>
          <w:rFonts w:ascii="Dubai" w:hAnsi="Dubai" w:cs="Dubai"/>
          <w:b/>
          <w:i w:val="0"/>
          <w:color w:val="78281F"/>
          <w:sz w:val="21"/>
          <w:rtl w:val="1"/>
          <w:szCs w:val="21"/>
          <w:bCs/>
        </w:rPr>
        <w:t xml:space="preserve">💊 دسته دارویی مهارکننده‌های SGLT2 (Dapagliflozin, Empagliflozin):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مکانیسم عمل: مهار ناقل گلوکز-سدیم در لوله پروگزیمال کلیه ← ناتریورز اسموتیک، کاهش پیش‌بار و بهبود متابولیسم انرژی میوکارد (موثر در هر دو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HFrEF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و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HFpEF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>). | نکته کلیدی: کاهش مورتالیتی و بستری قلبی مستقل از وجود یا عدم وجود دیابت.</w:t>
      </w:r>
    </w:p>
    <w:p>
      <w:pPr>
        <w:spacing w:before="20" w:after="60" w:line="276" w:lineRule="auto"/>
        <w:jc w:val="right"/>
        <w:bidi w:val="1"/>
      </w:pPr>
      <w:r>
        <w:rPr>
          <w:rFonts w:ascii="Dubai" w:hAnsi="Dubai" w:cs="Dubai"/>
          <w:b/>
          <w:i w:val="0"/>
          <w:color w:val="78281F"/>
          <w:sz w:val="21"/>
          <w:rtl w:val="1"/>
          <w:szCs w:val="21"/>
          <w:bCs/>
        </w:rPr>
        <w:t xml:space="preserve">💊 دسته دارویی دیورتیک‌های لوپ (Furosemide):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مکانیسم عمل: مهار هم‌انتقال‌دهنده </w:t>
      </w:r>
      <w:r>
        <w:rPr>
          <w:rFonts w:ascii="Dubai" w:hAnsi="Dubai" w:cs="Dubai"/>
          <w:b w:val="0"/>
          <w:i w:val="0"/>
          <w:color w:val="262626"/>
          <w:sz w:val="21"/>
          <w:rtl w:val="0"/>
          <w:szCs w:val="21"/>
        </w:rPr>
        <w:t xml:space="preserve"> Na⁺-K⁺-2Cl⁻ </w:t>
      </w:r>
      <w:r>
        <w:rPr>
          <w:rFonts w:ascii="Dubai" w:hAnsi="Dubai" w:cs="Dubai"/>
          <w:b w:val="0"/>
          <w:i w:val="0"/>
          <w:color w:val="262626"/>
          <w:sz w:val="21"/>
          <w:rtl w:val="1"/>
          <w:szCs w:val="21"/>
        </w:rPr>
        <w:t xml:space="preserve"> در قوس صعودی لوله هنله ← تسکین سریع احتقان و علائم بالینی. | نکته کلیدی: فقط بهبود علامتی ایجاد می‌کنند و اثری در کاهش مورتالیتی قلبی ندارند.</w:t>
      </w:r>
    </w:p>
    <w:p>
      <w:pPr>
        <w:spacing w:before="160" w:after="80" w:line="276" w:lineRule="auto"/>
        <w:jc w:val="right"/>
        <w:bidi w:val="1"/>
      </w:pPr>
      <w:r>
        <w:rPr>
          <w:rFonts w:ascii="Dubai" w:hAnsi="Dubai" w:cs="Dubai"/>
          <w:b/>
          <w:i w:val="0"/>
          <w:color w:val="0E6251"/>
          <w:sz w:val="23"/>
          <w:rtl w:val="1"/>
          <w:szCs w:val="23"/>
          <w:bCs/>
        </w:rPr>
        <w:t>📊 تشخیص افتراقی‌های مهم نارسایی سیستولیک در برابر دیاستولیک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40" w:type="dxa"/>
              <w:bottom w:w="140" w:type="dxa"/>
              <w:left w:w="140" w:type="dxa"/>
              <w:right w:w="140" w:type="dxa"/>
            </w:tcMar>
            <w:shd w:fill="78281F"/>
            <w:tcBorders>
              <w:top w:val="single" w:sz="6" w:color="78281F"/>
              <w:bottom w:val="single" w:sz="12" w:color="78281F"/>
              <w:left w:val="none"/>
              <w:right w:val="none"/>
            </w:tcBorders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FFFFFF"/>
                <w:sz w:val="20"/>
                <w:rtl w:val="1"/>
                <w:szCs w:val="20"/>
                <w:bCs/>
              </w:rPr>
              <w:t>تشخیص بالینی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40" w:type="dxa"/>
              <w:right w:w="140" w:type="dxa"/>
            </w:tcMar>
            <w:shd w:fill="78281F"/>
            <w:tcBorders>
              <w:top w:val="single" w:sz="6" w:color="78281F"/>
              <w:bottom w:val="single" w:sz="12" w:color="78281F"/>
              <w:left w:val="none"/>
              <w:right w:val="none"/>
            </w:tcBorders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FFFFFF"/>
                <w:sz w:val="20"/>
                <w:rtl w:val="1"/>
                <w:szCs w:val="20"/>
                <w:bCs/>
              </w:rPr>
              <w:t>تظاهرات مشترک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40" w:type="dxa"/>
              <w:right w:w="140" w:type="dxa"/>
            </w:tcMar>
            <w:shd w:fill="78281F"/>
            <w:tcBorders>
              <w:top w:val="single" w:sz="6" w:color="78281F"/>
              <w:bottom w:val="single" w:sz="12" w:color="78281F"/>
              <w:left w:val="none"/>
              <w:right w:val="none"/>
            </w:tcBorders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FFFFFF"/>
                <w:sz w:val="20"/>
                <w:rtl w:val="1"/>
                <w:szCs w:val="20"/>
                <w:bCs/>
              </w:rPr>
              <w:t>نقطه تمایز کلیدی (Pivot Feature)</w:t>
            </w:r>
          </w:p>
        </w:tc>
        <w:tc>
          <w:tcPr>
            <w:tcW w:type="dxa" w:w="2340"/>
            <w:tcMar>
              <w:top w:w="140" w:type="dxa"/>
              <w:bottom w:w="140" w:type="dxa"/>
              <w:left w:w="140" w:type="dxa"/>
              <w:right w:w="140" w:type="dxa"/>
            </w:tcMar>
            <w:shd w:fill="78281F"/>
            <w:tcBorders>
              <w:top w:val="single" w:sz="6" w:color="78281F"/>
              <w:bottom w:val="single" w:sz="12" w:color="78281F"/>
              <w:left w:val="none"/>
              <w:right w:val="none"/>
            </w:tcBorders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FFFFFF"/>
                <w:sz w:val="20"/>
                <w:rtl w:val="1"/>
                <w:szCs w:val="20"/>
                <w:bCs/>
              </w:rPr>
              <w:t>تست تاییدی قطعی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19"/>
                <w:rtl w:val="1"/>
                <w:szCs w:val="19"/>
                <w:bCs/>
              </w:rPr>
              <w:t xml:space="preserve">نارسایی سیستولیک </w:t>
            </w:r>
            <w:r>
              <w:rPr>
                <w:rFonts w:ascii="Dubai" w:hAnsi="Dubai" w:cs="Dubai"/>
                <w:b/>
                <w:i w:val="0"/>
                <w:color w:val="78281F"/>
                <w:sz w:val="19"/>
                <w:rtl w:val="0"/>
                <w:szCs w:val="19"/>
                <w:bCs/>
              </w:rPr>
              <w:t xml:space="preserve"> (HFrEF) 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>تنگی نفس ارتوپنه، رال ریوی، ادم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LVEF ≤ 40%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 همراه با گشاد شدن بطن چپ و صدای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S3 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اکوکاردیوگرافی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TTE 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19"/>
                <w:rtl w:val="1"/>
                <w:szCs w:val="19"/>
                <w:bCs/>
              </w:rPr>
              <w:t xml:space="preserve">نارسایی دیاستولیک </w:t>
            </w:r>
            <w:r>
              <w:rPr>
                <w:rFonts w:ascii="Dubai" w:hAnsi="Dubai" w:cs="Dubai"/>
                <w:b/>
                <w:i w:val="0"/>
                <w:color w:val="78281F"/>
                <w:sz w:val="19"/>
                <w:rtl w:val="0"/>
                <w:szCs w:val="19"/>
                <w:bCs/>
              </w:rPr>
              <w:t xml:space="preserve"> (HFpEF) 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>تنگی نفس فعالیتی، ادم محیطی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LVEF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 نرمال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(≥50%)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 همراه با هایپرتروفی دیواره بطن و صدای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S4 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>اکوکاردیوگرافی داپلر بافتی (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E/e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>')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19"/>
                <w:rtl w:val="1"/>
                <w:szCs w:val="19"/>
                <w:bCs/>
              </w:rPr>
              <w:t xml:space="preserve">آمبولی حاد ریه </w:t>
            </w:r>
            <w:r>
              <w:rPr>
                <w:rFonts w:ascii="Dubai" w:hAnsi="Dubai" w:cs="Dubai"/>
                <w:b/>
                <w:i w:val="0"/>
                <w:color w:val="78281F"/>
                <w:sz w:val="19"/>
                <w:rtl w:val="0"/>
                <w:szCs w:val="19"/>
                <w:bCs/>
              </w:rPr>
              <w:t xml:space="preserve"> (Acute PE) 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>تنگی نفس حاد، تاکی‌کاردی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شروع هایپراکیوت با درد پلورتیک و اتساع ایزوله بطن راست بدون احتقان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LV 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سی‌تی آنژیوگرافی عروق ریه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(CTPA) 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19"/>
                <w:rtl w:val="1"/>
                <w:szCs w:val="19"/>
                <w:bCs/>
              </w:rPr>
              <w:t xml:space="preserve">حملات حاد </w:t>
            </w:r>
            <w:r>
              <w:rPr>
                <w:rFonts w:ascii="Dubai" w:hAnsi="Dubai" w:cs="Dubai"/>
                <w:b/>
                <w:i w:val="0"/>
                <w:color w:val="78281F"/>
                <w:sz w:val="19"/>
                <w:rtl w:val="0"/>
                <w:szCs w:val="19"/>
                <w:bCs/>
              </w:rPr>
              <w:t xml:space="preserve"> COPD 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>تنگی نفس و ویزینگ شدید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سابقه مصرف سیگار، هیپراینفلیشن در عکس قفسه سینه،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BNP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 نرمال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اسپیرومتری و گازهای خون شریانی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(ABG) </w:t>
            </w:r>
          </w:p>
        </w:tc>
      </w:tr>
    </w:tbl>
    <w:p>
      <w:pPr>
        <w:spacing w:before="0" w:after="160" w:line="276" w:lineRule="auto"/>
        <w:jc w:val="right"/>
        <w:bidi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FEF9E7"/>
            <w:tcBorders>
              <w:top w:val="single" w:sz="12" w:color="D35400"/>
              <w:left w:val="single" w:sz="12" w:color="D35400"/>
              <w:right w:val="single" w:sz="12" w:color="D35400"/>
              <w:bottom w:val="none"/>
            </w:tcBorders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22"/>
                <w:rtl w:val="1"/>
                <w:szCs w:val="22"/>
                <w:bCs/>
              </w:rPr>
              <w:t>⚠️ ⚡ نکات دامی آزمونی و مرواریدهای کلیدی (High-Yield Pearls &amp; Pitfalls)</w:t>
            </w:r>
          </w:p>
        </w:tc>
      </w:tr>
      <w:tr>
        <w:tc>
          <w:tcPr>
            <w:tcW w:type="dxa" w:w="9360"/>
            <w:tcMar>
              <w:top w:w="160" w:type="dxa"/>
              <w:bottom w:w="160" w:type="dxa"/>
              <w:left w:w="180" w:type="dxa"/>
              <w:right w:w="180" w:type="dxa"/>
            </w:tcMar>
            <w:shd w:fill="FFFFFF"/>
            <w:tcBorders>
              <w:top w:val="none"/>
              <w:left w:val="single" w:sz="12" w:color="D35400"/>
              <w:right w:val="single" w:sz="12" w:color="D35400"/>
              <w:bottom w:val="single" w:sz="12" w:color="D35400"/>
            </w:tcBorders>
          </w:tcPr>
          <w:p>
            <w:pPr>
              <w:spacing w:before="40" w:after="7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21"/>
                <w:rtl w:val="1"/>
                <w:szCs w:val="21"/>
                <w:bCs/>
              </w:rPr>
              <w:t xml:space="preserve">•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صدای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S3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 یعنی حجم اضافه بار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(Volume Overload / Dilated LV)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، در حالی که صدای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S4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 یعنی سفت‌شدن دیواره بطن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(Stiff / Non-compliant LV)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>.</w:t>
            </w:r>
          </w:p>
          <w:p>
            <w:pPr>
              <w:spacing w:before="40" w:after="7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21"/>
                <w:rtl w:val="1"/>
                <w:szCs w:val="21"/>
                <w:bCs/>
              </w:rPr>
              <w:t xml:space="preserve">•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>در فاز دکامپانسیون حاد نارسایی قلبی (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Wet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 &amp;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Cold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>)، بتابلوکرها نباید قطع ناگهانی شوند اما هرگز نباید دوز آن‌ها افزایش یابد یا داروی جدید اضافه شود.</w:t>
            </w:r>
          </w:p>
          <w:p>
            <w:pPr>
              <w:spacing w:before="40" w:after="7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21"/>
                <w:rtl w:val="1"/>
                <w:szCs w:val="21"/>
                <w:bCs/>
              </w:rPr>
              <w:t xml:space="preserve">•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افت سدیم خون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(Hyponatremia)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 در بیماران نارسایی قلبی نشانه فعال‌سازی شدید سیستم نوروهورمونال (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RAAS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 و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ADH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>) و بدترین پیش‌آگهی بلندمدت است.</w:t>
            </w:r>
          </w:p>
          <w:p>
            <w:pPr>
              <w:spacing w:before="40" w:after="7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21"/>
                <w:rtl w:val="1"/>
                <w:szCs w:val="21"/>
                <w:bCs/>
              </w:rPr>
              <w:t xml:space="preserve">•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>دیورتیک‌های لوپ مورتالیتی را کاهش نمی‌دهند؛ تنها داروهای مهارکننده نوروهورمونال (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ARNI/ACEi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، بتابلوکرها،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MRA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 مثل اسپیرونولاکتون، و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SGLT2i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>) مورتالیتی را کاهش می‌دهند.</w:t>
            </w:r>
          </w:p>
        </w:tc>
      </w:tr>
    </w:tbl>
    <w:p>
      <w:pPr>
        <w:spacing w:before="0" w:after="120" w:line="276" w:lineRule="auto"/>
        <w:jc w:val="right"/>
        <w:bidi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FEFDE8"/>
            <w:tcBorders>
              <w:top w:val="single" w:sz="12" w:color="D4AC0D"/>
              <w:left w:val="single" w:sz="12" w:color="D4AC0D"/>
              <w:right w:val="single" w:sz="12" w:color="D4AC0D"/>
              <w:bottom w:val="none"/>
            </w:tcBorders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22"/>
                <w:rtl w:val="1"/>
                <w:szCs w:val="22"/>
                <w:bCs/>
              </w:rPr>
              <w:t>⭐ ⭐ اولویت اول مرور: تأکیدات مستقیم و سوالات قطعی استاد در کلاس</w:t>
            </w:r>
          </w:p>
        </w:tc>
      </w:tr>
      <w:tr>
        <w:tc>
          <w:tcPr>
            <w:tcW w:type="dxa" w:w="9360"/>
            <w:tcMar>
              <w:top w:w="160" w:type="dxa"/>
              <w:bottom w:w="160" w:type="dxa"/>
              <w:left w:w="180" w:type="dxa"/>
              <w:right w:w="180" w:type="dxa"/>
            </w:tcMar>
            <w:shd w:fill="FFFFFF"/>
            <w:tcBorders>
              <w:top w:val="none"/>
              <w:left w:val="single" w:sz="12" w:color="D4AC0D"/>
              <w:right w:val="single" w:sz="12" w:color="D4AC0D"/>
              <w:bottom w:val="single" w:sz="12" w:color="D4AC0D"/>
            </w:tcBorders>
          </w:tcPr>
          <w:p>
            <w:pPr>
              <w:spacing w:before="40" w:after="7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21"/>
                <w:rtl w:val="1"/>
                <w:szCs w:val="21"/>
                <w:bCs/>
              </w:rPr>
              <w:t xml:space="preserve">•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استاد در کلاس تأکید ویژه کرد: در شروع داروی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ARNI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، رعایت فاصله زمانی ۳۶ ساعت پس از قطع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ACEi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 الزامی است و سؤال قطعی امتحان خواهد بود.</w:t>
            </w:r>
          </w:p>
          <w:p>
            <w:pPr>
              <w:spacing w:before="40" w:after="7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21"/>
                <w:rtl w:val="1"/>
                <w:szCs w:val="21"/>
                <w:bCs/>
              </w:rPr>
              <w:t xml:space="preserve">•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>توجه: دیورتیک‌های لوپ مانند فوروزماید هرگز بقای بیمار را افزایش نمی‌دهند و فقط علامت را بهتر می‌کنند.</w:t>
            </w:r>
          </w:p>
        </w:tc>
      </w:tr>
    </w:tbl>
    <w:p>
      <w:pPr>
        <w:spacing w:before="0" w:after="120" w:line="276" w:lineRule="auto"/>
        <w:jc w:val="right"/>
        <w:bidi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FDEDEC"/>
            <w:tcBorders>
              <w:top w:val="single" w:sz="12" w:color="C0392B"/>
              <w:left w:val="single" w:sz="12" w:color="C0392B"/>
              <w:right w:val="single" w:sz="12" w:color="C0392B"/>
              <w:bottom w:val="none"/>
            </w:tcBorders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22"/>
                <w:rtl w:val="1"/>
                <w:szCs w:val="22"/>
                <w:bCs/>
              </w:rPr>
              <w:t>⛔ ⛔ موارد مصرف ممنوع و خطاهای مرگبار (Absolute Contraindications &amp; Lethal Withholds)</w:t>
            </w:r>
          </w:p>
        </w:tc>
      </w:tr>
      <w:tr>
        <w:tc>
          <w:tcPr>
            <w:tcW w:type="dxa" w:w="9360"/>
            <w:tcMar>
              <w:top w:w="160" w:type="dxa"/>
              <w:bottom w:w="160" w:type="dxa"/>
              <w:left w:w="180" w:type="dxa"/>
              <w:right w:w="180" w:type="dxa"/>
            </w:tcMar>
            <w:shd w:fill="FFFFFF"/>
            <w:tcBorders>
              <w:top w:val="none"/>
              <w:left w:val="single" w:sz="12" w:color="C0392B"/>
              <w:right w:val="single" w:sz="12" w:color="C0392B"/>
              <w:bottom w:val="single" w:sz="12" w:color="C0392B"/>
            </w:tcBorders>
          </w:tcPr>
          <w:p>
            <w:pPr>
              <w:spacing w:before="40" w:after="7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21"/>
                <w:rtl w:val="1"/>
                <w:szCs w:val="21"/>
                <w:bCs/>
              </w:rPr>
              <w:t xml:space="preserve">•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>شروع یا افزایش دوز بتابلوکر در فاز حاد دکامپانسه نارسایی قلبی (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Decompensated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HF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 /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Wet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 &amp;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Cold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>) به دلیل تضعیف انقباض حاد اکیداً ممنوع است.</w:t>
            </w:r>
          </w:p>
          <w:p>
            <w:pPr>
              <w:spacing w:before="40" w:after="7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21"/>
                <w:rtl w:val="1"/>
                <w:szCs w:val="21"/>
                <w:bCs/>
              </w:rPr>
              <w:t xml:space="preserve">•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تجویز مهارکننده‌های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ACE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 و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ARB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 در تنگی دوطرفه شریان کلیه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(Bilateral Renal Artery Stenosis)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 و در بارداری ممنوع است.</w:t>
            </w:r>
          </w:p>
          <w:p>
            <w:pPr>
              <w:spacing w:before="40" w:after="7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21"/>
                <w:rtl w:val="1"/>
                <w:szCs w:val="21"/>
                <w:bCs/>
              </w:rPr>
              <w:t xml:space="preserve">•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تجویز همزمان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ACEi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 و مهارکننده نپری‌لیزین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(Sacubitril)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 به دلیل خطر آنژیوادم کشنده ناشی از برادی‌کینین اکیداً کنترااندیکه است (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Washout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Period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 الزامی: ۳۶ ساعت).</w:t>
            </w:r>
          </w:p>
        </w:tc>
      </w:tr>
    </w:tbl>
    <w:p>
      <w:pPr>
        <w:spacing w:before="0" w:after="120" w:line="276" w:lineRule="auto"/>
        <w:jc w:val="right"/>
        <w:bidi w:val="1"/>
      </w:pPr>
    </w:p>
    <w:p>
      <w:pPr>
        <w:spacing w:before="160" w:after="80" w:line="276" w:lineRule="auto"/>
        <w:jc w:val="right"/>
        <w:bidi w:val="1"/>
      </w:pPr>
      <w:r>
        <w:rPr>
          <w:rFonts w:ascii="Dubai" w:hAnsi="Dubai" w:cs="Dubai"/>
          <w:b/>
          <w:i w:val="0"/>
          <w:color w:val="0E6251"/>
          <w:sz w:val="23"/>
          <w:rtl w:val="1"/>
          <w:szCs w:val="23"/>
          <w:bCs/>
        </w:rPr>
        <w:t>📊 طبقه‌بندی شدت نارسایی قلبی (NYHA Functional Classification)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40" w:type="dxa"/>
              <w:bottom w:w="140" w:type="dxa"/>
              <w:left w:w="140" w:type="dxa"/>
              <w:right w:w="140" w:type="dxa"/>
            </w:tcMar>
            <w:shd w:fill="78281F"/>
            <w:tcBorders>
              <w:top w:val="single" w:sz="6" w:color="78281F"/>
              <w:bottom w:val="single" w:sz="12" w:color="78281F"/>
              <w:left w:val="none"/>
              <w:right w:val="none"/>
            </w:tcBorders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FFFFFF"/>
                <w:sz w:val="20"/>
                <w:rtl w:val="1"/>
                <w:szCs w:val="20"/>
                <w:bCs/>
              </w:rPr>
              <w:t>کلاس عملکردی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40" w:type="dxa"/>
              <w:right w:w="140" w:type="dxa"/>
            </w:tcMar>
            <w:shd w:fill="78281F"/>
            <w:tcBorders>
              <w:top w:val="single" w:sz="6" w:color="78281F"/>
              <w:bottom w:val="single" w:sz="12" w:color="78281F"/>
              <w:left w:val="none"/>
              <w:right w:val="none"/>
            </w:tcBorders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FFFFFF"/>
                <w:sz w:val="20"/>
                <w:rtl w:val="1"/>
                <w:szCs w:val="20"/>
                <w:bCs/>
              </w:rPr>
              <w:t>تظاهرات و محدودیت فعالیت بدنی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40" w:type="dxa"/>
              <w:right w:w="140" w:type="dxa"/>
            </w:tcMar>
            <w:shd w:fill="78281F"/>
            <w:tcBorders>
              <w:top w:val="single" w:sz="6" w:color="78281F"/>
              <w:bottom w:val="single" w:sz="12" w:color="78281F"/>
              <w:left w:val="none"/>
              <w:right w:val="none"/>
            </w:tcBorders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FFFFFF"/>
                <w:sz w:val="20"/>
                <w:rtl w:val="1"/>
                <w:szCs w:val="20"/>
                <w:bCs/>
              </w:rPr>
              <w:t>ارتباط با برون‌ده قلبی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19"/>
                <w:rtl w:val="1"/>
                <w:szCs w:val="19"/>
                <w:bCs/>
              </w:rPr>
              <w:t xml:space="preserve">کلاس I </w:t>
            </w:r>
            <w:r>
              <w:rPr>
                <w:rFonts w:ascii="Dubai" w:hAnsi="Dubai" w:cs="Dubai"/>
                <w:b/>
                <w:i w:val="0"/>
                <w:color w:val="78281F"/>
                <w:sz w:val="19"/>
                <w:rtl w:val="0"/>
                <w:szCs w:val="19"/>
                <w:bCs/>
              </w:rPr>
              <w:t xml:space="preserve"> (Class I) 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>بدون محدودیت در فعالیت بدنی عادی؛ فعالیت روزمره تنگی نفس نمی‌دهد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>جبران کامل در استراحت و فعالیت ملایم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19"/>
                <w:rtl w:val="1"/>
                <w:szCs w:val="19"/>
                <w:bCs/>
              </w:rPr>
              <w:t xml:space="preserve">کلاس </w:t>
            </w:r>
            <w:r>
              <w:rPr>
                <w:rFonts w:ascii="Dubai" w:hAnsi="Dubai" w:cs="Dubai"/>
                <w:b/>
                <w:i w:val="0"/>
                <w:color w:val="78281F"/>
                <w:sz w:val="19"/>
                <w:rtl w:val="0"/>
                <w:szCs w:val="19"/>
                <w:bCs/>
              </w:rPr>
              <w:t xml:space="preserve"> II </w:t>
            </w:r>
            <w:r>
              <w:rPr>
                <w:rFonts w:ascii="Dubai" w:hAnsi="Dubai" w:cs="Dubai"/>
                <w:b/>
                <w:i w:val="0"/>
                <w:color w:val="78281F"/>
                <w:sz w:val="19"/>
                <w:rtl w:val="1"/>
                <w:szCs w:val="19"/>
                <w:bCs/>
              </w:rPr>
              <w:t xml:space="preserve"> </w:t>
            </w:r>
            <w:r>
              <w:rPr>
                <w:rFonts w:ascii="Dubai" w:hAnsi="Dubai" w:cs="Dubai"/>
                <w:b/>
                <w:i w:val="0"/>
                <w:color w:val="78281F"/>
                <w:sz w:val="19"/>
                <w:rtl w:val="0"/>
                <w:szCs w:val="19"/>
                <w:bCs/>
              </w:rPr>
              <w:t xml:space="preserve"> (Class II) 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>محدودیت خفیف؛ در استراحت راحت است ولی فعالیت عادی تنگی نفس می‌دهد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>کاهش ذخیره قلبی در فعالیت‌های معمول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19"/>
                <w:rtl w:val="1"/>
                <w:szCs w:val="19"/>
                <w:bCs/>
              </w:rPr>
              <w:t xml:space="preserve">کلاس </w:t>
            </w:r>
            <w:r>
              <w:rPr>
                <w:rFonts w:ascii="Dubai" w:hAnsi="Dubai" w:cs="Dubai"/>
                <w:b/>
                <w:i w:val="0"/>
                <w:color w:val="78281F"/>
                <w:sz w:val="19"/>
                <w:rtl w:val="0"/>
                <w:szCs w:val="19"/>
                <w:bCs/>
              </w:rPr>
              <w:t xml:space="preserve"> III </w:t>
            </w:r>
            <w:r>
              <w:rPr>
                <w:rFonts w:ascii="Dubai" w:hAnsi="Dubai" w:cs="Dubai"/>
                <w:b/>
                <w:i w:val="0"/>
                <w:color w:val="78281F"/>
                <w:sz w:val="19"/>
                <w:rtl w:val="1"/>
                <w:szCs w:val="19"/>
                <w:bCs/>
              </w:rPr>
              <w:t xml:space="preserve"> </w:t>
            </w:r>
            <w:r>
              <w:rPr>
                <w:rFonts w:ascii="Dubai" w:hAnsi="Dubai" w:cs="Dubai"/>
                <w:b/>
                <w:i w:val="0"/>
                <w:color w:val="78281F"/>
                <w:sz w:val="19"/>
                <w:rtl w:val="0"/>
                <w:szCs w:val="19"/>
                <w:bCs/>
              </w:rPr>
              <w:t xml:space="preserve"> (Class III) 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>محدودیت شدید؛ در استراحت راحت است ولی فعالیت کمتر از معمول علامت‌دار است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>افزایش فشارهای پرشدگی با کوچکترین جابه‌جایی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19"/>
                <w:rtl w:val="1"/>
                <w:szCs w:val="19"/>
                <w:bCs/>
              </w:rPr>
              <w:t xml:space="preserve">کلاس </w:t>
            </w:r>
            <w:r>
              <w:rPr>
                <w:rFonts w:ascii="Dubai" w:hAnsi="Dubai" w:cs="Dubai"/>
                <w:b/>
                <w:i w:val="0"/>
                <w:color w:val="78281F"/>
                <w:sz w:val="19"/>
                <w:rtl w:val="0"/>
                <w:szCs w:val="19"/>
                <w:bCs/>
              </w:rPr>
              <w:t xml:space="preserve"> IV </w:t>
            </w:r>
            <w:r>
              <w:rPr>
                <w:rFonts w:ascii="Dubai" w:hAnsi="Dubai" w:cs="Dubai"/>
                <w:b/>
                <w:i w:val="0"/>
                <w:color w:val="78281F"/>
                <w:sz w:val="19"/>
                <w:rtl w:val="1"/>
                <w:szCs w:val="19"/>
                <w:bCs/>
              </w:rPr>
              <w:t xml:space="preserve"> </w:t>
            </w:r>
            <w:r>
              <w:rPr>
                <w:rFonts w:ascii="Dubai" w:hAnsi="Dubai" w:cs="Dubai"/>
                <w:b/>
                <w:i w:val="0"/>
                <w:color w:val="78281F"/>
                <w:sz w:val="19"/>
                <w:rtl w:val="0"/>
                <w:szCs w:val="19"/>
                <w:bCs/>
              </w:rPr>
              <w:t xml:space="preserve"> (Class IV) 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>ناتوانی کامل؛ وجود علائم نارسایی قلبی حتی در حالت استراحت مطلق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>افت شدید برون‌ده قلبی و احتقان دائمی ریوی</w:t>
            </w:r>
          </w:p>
        </w:tc>
      </w:tr>
    </w:tbl>
    <w:p>
      <w:pPr>
        <w:spacing w:before="0" w:after="160" w:line="276" w:lineRule="auto"/>
        <w:jc w:val="right"/>
        <w:bidi w:val="1"/>
      </w:pPr>
    </w:p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F5EEF8"/>
            <w:tcBorders>
              <w:top w:val="single" w:sz="12" w:color="6C3483"/>
              <w:left w:val="single" w:sz="12" w:color="6C3483"/>
              <w:right w:val="single" w:sz="12" w:color="6C3483"/>
              <w:bottom w:val="none"/>
            </w:tcBorders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6C3483"/>
                <w:sz w:val="22"/>
                <w:rtl w:val="1"/>
                <w:szCs w:val="22"/>
                <w:bCs/>
              </w:rPr>
              <w:t>📝 خودآزمایی فعال: مرد ۶۵ ساله با تنگی نفس و سابقه انفارکتوس میوکارد</w:t>
            </w:r>
          </w:p>
        </w:tc>
      </w:tr>
      <w:tr>
        <w:tc>
          <w:tcPr>
            <w:tcW w:type="dxa" w:w="9360"/>
            <w:tcMar>
              <w:top w:w="160" w:type="dxa"/>
              <w:bottom w:w="160" w:type="dxa"/>
              <w:left w:w="180" w:type="dxa"/>
              <w:right w:w="180" w:type="dxa"/>
            </w:tcMar>
            <w:shd w:fill="FFFFFF"/>
            <w:tcBorders>
              <w:top w:val="none"/>
              <w:left w:val="single" w:sz="12" w:color="6C3483"/>
              <w:right w:val="single" w:sz="12" w:color="6C3483"/>
              <w:bottom w:val="single" w:sz="12" w:color="6C3483"/>
            </w:tcBorders>
          </w:tcPr>
          <w:p>
            <w:pPr>
              <w:spacing w:before="40" w:after="8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بیمار آقای ۶۵ ساله با سابقه آنژیوپلاستی عروق کرونری، با شکایت تنگی نفس ارتوپنه و ادم هر دو اندام تحتانی به درمانگاه مراجعه می‌کند. در سمع قلب، صدای سوم قلب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(S3)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 شنیده می‌شود. در اکوکاردیوگرافی، کسر تخلیه‌ای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0"/>
                <w:szCs w:val="21"/>
              </w:rPr>
              <w:t xml:space="preserve"> (LVEF) </w:t>
            </w:r>
            <w:r>
              <w:rPr>
                <w:rFonts w:ascii="Dubai" w:hAnsi="Dubai" w:cs="Dubai"/>
                <w:b w:val="0"/>
                <w:i w:val="0"/>
                <w:color w:val="262626"/>
                <w:sz w:val="21"/>
                <w:rtl w:val="1"/>
                <w:szCs w:val="21"/>
              </w:rPr>
              <w:t xml:space="preserve"> معادل ۳۲٪ گزارش شده است. کدام‌یک از گزینه‌های زیر اقدام درمانی انتخابی جهت کاهش قطعی مورتالیتی درازمدت در این بیمار است؟</w:t>
            </w:r>
          </w:p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20"/>
                <w:rtl w:val="1"/>
                <w:szCs w:val="20"/>
              </w:rPr>
              <w:t>الف) تجویز دیورتیک لوپ با دوز بالا به صورت تک‌دارویی</w:t>
            </w:r>
          </w:p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20"/>
                <w:rtl w:val="1"/>
                <w:szCs w:val="20"/>
              </w:rPr>
              <w:t xml:space="preserve">ب) شروع مهارکننده سیستم رنین-آنژیوتانسین/نپری‌لیزین </w:t>
            </w:r>
            <w:r>
              <w:rPr>
                <w:rFonts w:ascii="Dubai" w:hAnsi="Dubai" w:cs="Dubai"/>
                <w:b w:val="0"/>
                <w:i w:val="0"/>
                <w:color w:val="262626"/>
                <w:sz w:val="20"/>
                <w:rtl w:val="0"/>
                <w:szCs w:val="20"/>
              </w:rPr>
              <w:t xml:space="preserve"> (ARNI) </w:t>
            </w:r>
            <w:r>
              <w:rPr>
                <w:rFonts w:ascii="Dubai" w:hAnsi="Dubai" w:cs="Dubai"/>
                <w:b w:val="0"/>
                <w:i w:val="0"/>
                <w:color w:val="262626"/>
                <w:sz w:val="20"/>
                <w:rtl w:val="1"/>
                <w:szCs w:val="20"/>
              </w:rPr>
              <w:t xml:space="preserve"> همراه با بتابلوکر</w:t>
            </w:r>
          </w:p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20"/>
                <w:rtl w:val="1"/>
                <w:szCs w:val="20"/>
              </w:rPr>
              <w:t xml:space="preserve">ج) تجویز بلوک‌کننده کانال کلسیم نوع دی‌هیدروپیریدینی </w:t>
            </w:r>
            <w:r>
              <w:rPr>
                <w:rFonts w:ascii="Dubai" w:hAnsi="Dubai" w:cs="Dubai"/>
                <w:b w:val="0"/>
                <w:i w:val="0"/>
                <w:color w:val="262626"/>
                <w:sz w:val="20"/>
                <w:rtl w:val="0"/>
                <w:szCs w:val="20"/>
              </w:rPr>
              <w:t xml:space="preserve"> (Amlodipine) </w:t>
            </w:r>
          </w:p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20"/>
                <w:rtl w:val="1"/>
                <w:szCs w:val="20"/>
              </w:rPr>
              <w:t>د) تجویز دیگوکسین جهت افزایش مستقیم انقباض‌پذیری بطن</w:t>
            </w:r>
          </w:p>
          <w:p>
            <w:pPr>
              <w:spacing w:before="80" w:after="4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0E6251"/>
                <w:sz w:val="21"/>
                <w:rtl w:val="1"/>
                <w:szCs w:val="21"/>
                <w:bCs/>
              </w:rPr>
              <w:t>✓ گزینه (ب): شروع ARNI و بتابلوکر اختصاصی</w:t>
            </w:r>
          </w:p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/>
                <w:color w:val="5D4037"/>
                <w:sz w:val="20"/>
                <w:rtl w:val="1"/>
                <w:szCs w:val="20"/>
                <w:iCs/>
              </w:rPr>
              <w:t xml:space="preserve">💡 تحلیل فیزیوپاتولوژی: در نارسایی سیستولیک با کسر تخلیه‌ای کاهش‌یافته </w:t>
            </w:r>
            <w:r>
              <w:rPr>
                <w:rFonts w:ascii="Dubai" w:hAnsi="Dubai" w:cs="Dubai"/>
                <w:b w:val="0"/>
                <w:i/>
                <w:color w:val="5D4037"/>
                <w:sz w:val="20"/>
                <w:rtl w:val="0"/>
                <w:szCs w:val="20"/>
                <w:iCs/>
              </w:rPr>
              <w:t xml:space="preserve"> (HFrEF) </w:t>
            </w:r>
            <w:r>
              <w:rPr>
                <w:rFonts w:ascii="Dubai" w:hAnsi="Dubai" w:cs="Dubai"/>
                <w:b w:val="0"/>
                <w:i/>
                <w:color w:val="5D4037"/>
                <w:sz w:val="20"/>
                <w:rtl w:val="1"/>
                <w:szCs w:val="20"/>
                <w:iCs/>
              </w:rPr>
              <w:t>، تنها داروهای مهارکننده محور نوروهورمونال (</w:t>
            </w:r>
            <w:r>
              <w:rPr>
                <w:rFonts w:ascii="Dubai" w:hAnsi="Dubai" w:cs="Dubai"/>
                <w:b w:val="0"/>
                <w:i/>
                <w:color w:val="5D4037"/>
                <w:sz w:val="20"/>
                <w:rtl w:val="0"/>
                <w:szCs w:val="20"/>
                <w:iCs/>
              </w:rPr>
              <w:t xml:space="preserve"> ARNI/ACEi </w:t>
            </w:r>
            <w:r>
              <w:rPr>
                <w:rFonts w:ascii="Dubai" w:hAnsi="Dubai" w:cs="Dubai"/>
                <w:b w:val="0"/>
                <w:i/>
                <w:color w:val="5D4037"/>
                <w:sz w:val="20"/>
                <w:rtl w:val="1"/>
                <w:szCs w:val="20"/>
                <w:iCs/>
              </w:rPr>
              <w:t xml:space="preserve">، بتابلوکرهای کارودیلول/متوپرولول/بیزوپرولول، آنتاگونیست آلدوسترون و </w:t>
            </w:r>
            <w:r>
              <w:rPr>
                <w:rFonts w:ascii="Dubai" w:hAnsi="Dubai" w:cs="Dubai"/>
                <w:b w:val="0"/>
                <w:i/>
                <w:color w:val="5D4037"/>
                <w:sz w:val="20"/>
                <w:rtl w:val="0"/>
                <w:szCs w:val="20"/>
                <w:iCs/>
              </w:rPr>
              <w:t xml:space="preserve"> SGLT2i </w:t>
            </w:r>
            <w:r>
              <w:rPr>
                <w:rFonts w:ascii="Dubai" w:hAnsi="Dubai" w:cs="Dubai"/>
                <w:b w:val="0"/>
                <w:i/>
                <w:color w:val="5D4037"/>
                <w:sz w:val="20"/>
                <w:rtl w:val="1"/>
                <w:szCs w:val="20"/>
                <w:iCs/>
              </w:rPr>
              <w:t>) مورتالیتی را کاهش می‌دهند. دیورتیک‌های لوپ صرفاً علائم احتقانی را تسکین می‌دهند و دیگوکسین بقا را بالا نمی‌برد.</w:t>
            </w:r>
          </w:p>
        </w:tc>
      </w:tr>
    </w:tbl>
    <w:p>
      <w:pPr>
        <w:spacing w:before="0" w:after="120" w:line="276" w:lineRule="auto"/>
        <w:jc w:val="right"/>
        <w:bidi w:val="1"/>
      </w:pPr>
    </w:p>
    <w:p>
      <w:pPr>
        <w:spacing w:before="360" w:after="120" w:line="276" w:lineRule="auto"/>
        <w:jc w:val="right"/>
        <w:bidi w:val="1"/>
      </w:pPr>
      <w:r>
        <w:rPr>
          <w:rFonts w:ascii="Dubai" w:hAnsi="Dubai" w:cs="Dubai"/>
          <w:b/>
          <w:i w:val="0"/>
          <w:color w:val="78281F"/>
          <w:sz w:val="28"/>
          <w:rtl w:val="1"/>
          <w:szCs w:val="28"/>
          <w:bCs/>
        </w:rPr>
        <w:t>💊 ماتریس جامع مقایسه داروشناسی بالینی (Master Pharmacology Matrix)</w:t>
      </w:r>
    </w:p>
    <w:p>
      <w:pPr>
        <w:spacing w:before="160" w:after="80" w:line="276" w:lineRule="auto"/>
        <w:jc w:val="right"/>
        <w:bidi w:val="1"/>
      </w:pPr>
      <w:r>
        <w:rPr>
          <w:rFonts w:ascii="Dubai" w:hAnsi="Dubai" w:cs="Dubai"/>
          <w:b/>
          <w:i w:val="0"/>
          <w:color w:val="0E6251"/>
          <w:sz w:val="23"/>
          <w:rtl w:val="1"/>
          <w:szCs w:val="23"/>
          <w:bCs/>
        </w:rPr>
        <w:t>📊 ماتریس جامع مقایسه داروشناسی بالینی (Master Pharmacology Matrix)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40" w:type="dxa"/>
              <w:bottom w:w="140" w:type="dxa"/>
              <w:left w:w="140" w:type="dxa"/>
              <w:right w:w="140" w:type="dxa"/>
            </w:tcMar>
            <w:shd w:fill="78281F"/>
            <w:tcBorders>
              <w:top w:val="single" w:sz="6" w:color="78281F"/>
              <w:bottom w:val="single" w:sz="12" w:color="78281F"/>
              <w:left w:val="none"/>
              <w:right w:val="none"/>
            </w:tcBorders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FFFFFF"/>
                <w:sz w:val="20"/>
                <w:rtl w:val="1"/>
                <w:szCs w:val="20"/>
                <w:bCs/>
              </w:rPr>
              <w:t>مبحث / بیماری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40" w:type="dxa"/>
              <w:right w:w="140" w:type="dxa"/>
            </w:tcMar>
            <w:shd w:fill="78281F"/>
            <w:tcBorders>
              <w:top w:val="single" w:sz="6" w:color="78281F"/>
              <w:bottom w:val="single" w:sz="12" w:color="78281F"/>
              <w:left w:val="none"/>
              <w:right w:val="none"/>
            </w:tcBorders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FFFFFF"/>
                <w:sz w:val="20"/>
                <w:rtl w:val="1"/>
                <w:szCs w:val="20"/>
                <w:bCs/>
              </w:rPr>
              <w:t>دسته دارویی و نمونه‌ها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40" w:type="dxa"/>
              <w:right w:w="140" w:type="dxa"/>
            </w:tcMar>
            <w:shd w:fill="78281F"/>
            <w:tcBorders>
              <w:top w:val="single" w:sz="6" w:color="78281F"/>
              <w:bottom w:val="single" w:sz="12" w:color="78281F"/>
              <w:left w:val="none"/>
              <w:right w:val="none"/>
            </w:tcBorders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FFFFFF"/>
                <w:sz w:val="20"/>
                <w:rtl w:val="1"/>
                <w:szCs w:val="20"/>
                <w:bCs/>
              </w:rPr>
              <w:t>مکانیسم اثر سلولی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40" w:type="dxa"/>
              <w:right w:w="140" w:type="dxa"/>
            </w:tcMar>
            <w:shd w:fill="78281F"/>
            <w:tcBorders>
              <w:top w:val="single" w:sz="6" w:color="78281F"/>
              <w:bottom w:val="single" w:sz="12" w:color="78281F"/>
              <w:left w:val="none"/>
              <w:right w:val="none"/>
            </w:tcBorders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FFFFFF"/>
                <w:sz w:val="20"/>
                <w:rtl w:val="1"/>
                <w:szCs w:val="20"/>
                <w:bCs/>
              </w:rPr>
              <w:t>اندیکاسیون دقیق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40" w:type="dxa"/>
              <w:right w:w="140" w:type="dxa"/>
            </w:tcMar>
            <w:shd w:fill="78281F"/>
            <w:tcBorders>
              <w:top w:val="single" w:sz="6" w:color="78281F"/>
              <w:bottom w:val="single" w:sz="12" w:color="78281F"/>
              <w:left w:val="none"/>
              <w:right w:val="none"/>
            </w:tcBorders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FFFFFF"/>
                <w:sz w:val="20"/>
                <w:rtl w:val="1"/>
                <w:szCs w:val="20"/>
                <w:bCs/>
              </w:rPr>
              <w:t>کنترااندیکاسیون / عوارض مرگبار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40" w:type="dxa"/>
              <w:right w:w="140" w:type="dxa"/>
            </w:tcMar>
            <w:shd w:fill="78281F"/>
            <w:tcBorders>
              <w:top w:val="single" w:sz="6" w:color="78281F"/>
              <w:bottom w:val="single" w:sz="12" w:color="78281F"/>
              <w:left w:val="none"/>
              <w:right w:val="none"/>
            </w:tcBorders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FFFFFF"/>
                <w:sz w:val="20"/>
                <w:rtl w:val="1"/>
                <w:szCs w:val="20"/>
                <w:bCs/>
              </w:rPr>
              <w:t>نکته کلیدی استاد / دام آزمون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19"/>
                <w:rtl w:val="1"/>
                <w:szCs w:val="19"/>
                <w:bCs/>
              </w:rPr>
              <w:t>نارسایی سیستولیک در برابر دیاستولیک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مهارکننده‌های سیستم رنین-آنژیوتانسین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(ARNI / ACEi) 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مهار بازجذب سدیم و وازوکانستریکشن + مهار تخریب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ANP/BNP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 توسط ساکوبیتریل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(Neprilysin Inhibitor)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 ← کاهش مورتالیتی در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HFrEF. 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>-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>-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شروع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ACEi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 با ساکوبیتریل نیازمند ۳۶ ساعت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Washout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Period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 است تا ریسک آنژیوادم کشنده پیشگیری شود.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19"/>
                <w:rtl w:val="1"/>
                <w:szCs w:val="19"/>
                <w:bCs/>
              </w:rPr>
              <w:t>نارسایی سیستولیک در برابر دیاستولیک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بتابلوکرهای مهارکننده اختصاصی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(Carvedilol, Metoprolol Succinate, Bisoprolol) 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>محافظت در برابر اثرات سمی کاتکول‌آمین‌های مزمن، کاهش آپوپتوز میوسیت‌ها و مهار تاکی‌کاردی ناشی از سمپاتیک.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>-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>-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>تنها در بیماران همودینامیک پایدار بدون اضافه بار مایع حاد شروع می‌شود (هرگز در فاز نارسایی دکامپانسه حاد شروع یا افزایش دوز داده نشود).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19"/>
                <w:rtl w:val="1"/>
                <w:szCs w:val="19"/>
                <w:bCs/>
              </w:rPr>
              <w:t>نارسایی سیستولیک در برابر دیاستولیک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مهارکننده‌های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SGLT2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(Dapagliflozin, Empagliflozin) 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مهار ناقل گلوکز-سدیم در لوله پروگزیمال کلیه ← ناتریورز اسموتیک، کاهش پیش‌بار و بهبود متابولیسم انرژی میوکارد (موثر در هر دو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HFrEF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 و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HFpEF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>).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>-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>-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>کاهش مورتالیتی و بستری قلبی مستقل از وجود یا عدم وجود دیابت.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19"/>
                <w:rtl w:val="1"/>
                <w:szCs w:val="19"/>
                <w:bCs/>
              </w:rPr>
              <w:t>نارسایی سیستولیک در برابر دیاستولیک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دیورتیک‌های لوپ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(Furosemide) 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مهار هم‌انتقال‌دهنده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Na⁺-K⁺-2Cl⁻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 در قوس صعودی لوله هنله ← تسکین سریع احتقان و علائم بالینی.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>-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>-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>فقط بهبود علامتی ایجاد می‌کنند و اثری در کاهش مورتالیتی قلبی ندارند.</w:t>
            </w:r>
          </w:p>
        </w:tc>
      </w:tr>
    </w:tbl>
    <w:p>
      <w:pPr>
        <w:spacing w:before="0" w:after="160" w:line="276" w:lineRule="auto"/>
        <w:jc w:val="right"/>
        <w:bidi w:val="1"/>
      </w:pPr>
    </w:p>
    <w:p>
      <w:pPr>
        <w:spacing w:before="360" w:after="120" w:line="276" w:lineRule="auto"/>
        <w:jc w:val="right"/>
        <w:bidi w:val="1"/>
      </w:pPr>
      <w:r>
        <w:rPr>
          <w:rFonts w:ascii="Dubai" w:hAnsi="Dubai" w:cs="Dubai"/>
          <w:b/>
          <w:i w:val="0"/>
          <w:color w:val="78281F"/>
          <w:sz w:val="28"/>
          <w:rtl w:val="1"/>
          <w:szCs w:val="28"/>
          <w:bCs/>
        </w:rPr>
        <w:t>🚀 کپسول طلایی شب امتحان (Last-Minute High-Yield Cheat Sheet)</w:t>
      </w:r>
    </w:p>
    <w:p>
      <w:pPr>
        <w:spacing w:before="0" w:after="120" w:line="276" w:lineRule="auto"/>
        <w:jc w:val="right"/>
        <w:bidi w:val="1"/>
      </w:pPr>
      <w:r>
        <w:rPr>
          <w:rFonts w:ascii="Dubai" w:hAnsi="Dubai" w:cs="Dubai"/>
          <w:b w:val="0"/>
          <w:i w:val="0"/>
          <w:color w:val="7F8C8D"/>
          <w:sz w:val="20"/>
          <w:rtl w:val="1"/>
          <w:szCs w:val="20"/>
        </w:rPr>
        <w:t>مرور سریع ۲ صفحه‌ای مخصوص صبح آزمون؛ چکیده مهم‌ترین پاتوفیزیولوژی‌ها، تریادها و درمان‌های انتخابی:</w:t>
      </w:r>
    </w:p>
    <w:p>
      <w:pPr>
        <w:spacing w:before="160" w:after="80" w:line="276" w:lineRule="auto"/>
        <w:jc w:val="right"/>
        <w:bidi w:val="1"/>
      </w:pPr>
      <w:r>
        <w:rPr>
          <w:rFonts w:ascii="Dubai" w:hAnsi="Dubai" w:cs="Dubai"/>
          <w:b/>
          <w:i w:val="0"/>
          <w:color w:val="0E6251"/>
          <w:sz w:val="23"/>
          <w:rtl w:val="1"/>
          <w:szCs w:val="23"/>
          <w:bCs/>
        </w:rPr>
        <w:t>📊 جدول مقایسه‌ای جامع مباحث برای مرور سریع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40" w:type="dxa"/>
              <w:bottom w:w="140" w:type="dxa"/>
              <w:left w:w="140" w:type="dxa"/>
              <w:right w:w="140" w:type="dxa"/>
            </w:tcMar>
            <w:shd w:fill="78281F"/>
            <w:tcBorders>
              <w:top w:val="single" w:sz="6" w:color="78281F"/>
              <w:bottom w:val="single" w:sz="12" w:color="78281F"/>
              <w:left w:val="none"/>
              <w:right w:val="none"/>
            </w:tcBorders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FFFFFF"/>
                <w:sz w:val="20"/>
                <w:rtl w:val="1"/>
                <w:szCs w:val="20"/>
                <w:bCs/>
              </w:rPr>
              <w:t>بیماری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40" w:type="dxa"/>
              <w:right w:w="140" w:type="dxa"/>
            </w:tcMar>
            <w:shd w:fill="78281F"/>
            <w:tcBorders>
              <w:top w:val="single" w:sz="6" w:color="78281F"/>
              <w:bottom w:val="single" w:sz="12" w:color="78281F"/>
              <w:left w:val="none"/>
              <w:right w:val="none"/>
            </w:tcBorders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FFFFFF"/>
                <w:sz w:val="20"/>
                <w:rtl w:val="1"/>
                <w:szCs w:val="20"/>
                <w:bCs/>
              </w:rPr>
              <w:t>اتیولوژی اصلی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40" w:type="dxa"/>
              <w:right w:w="140" w:type="dxa"/>
            </w:tcMar>
            <w:shd w:fill="78281F"/>
            <w:tcBorders>
              <w:top w:val="single" w:sz="6" w:color="78281F"/>
              <w:bottom w:val="single" w:sz="12" w:color="78281F"/>
              <w:left w:val="none"/>
              <w:right w:val="none"/>
            </w:tcBorders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FFFFFF"/>
                <w:sz w:val="20"/>
                <w:rtl w:val="1"/>
                <w:szCs w:val="20"/>
                <w:bCs/>
              </w:rPr>
              <w:t>مکانیسم پاتوفیزیولوژی کلیدی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40" w:type="dxa"/>
              <w:right w:w="140" w:type="dxa"/>
            </w:tcMar>
            <w:shd w:fill="78281F"/>
            <w:tcBorders>
              <w:top w:val="single" w:sz="6" w:color="78281F"/>
              <w:bottom w:val="single" w:sz="12" w:color="78281F"/>
              <w:left w:val="none"/>
              <w:right w:val="none"/>
            </w:tcBorders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FFFFFF"/>
                <w:sz w:val="20"/>
                <w:rtl w:val="1"/>
                <w:szCs w:val="20"/>
                <w:bCs/>
              </w:rPr>
              <w:t>علامت شاخص / تریاد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40" w:type="dxa"/>
              <w:right w:w="140" w:type="dxa"/>
            </w:tcMar>
            <w:shd w:fill="78281F"/>
            <w:tcBorders>
              <w:top w:val="single" w:sz="6" w:color="78281F"/>
              <w:bottom w:val="single" w:sz="12" w:color="78281F"/>
              <w:left w:val="none"/>
              <w:right w:val="none"/>
            </w:tcBorders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FFFFFF"/>
                <w:sz w:val="20"/>
                <w:rtl w:val="1"/>
                <w:szCs w:val="20"/>
                <w:bCs/>
              </w:rPr>
              <w:t>اقدام تشخیصی نخستین</w:t>
            </w:r>
          </w:p>
        </w:tc>
        <w:tc>
          <w:tcPr>
            <w:tcW w:type="dxa" w:w="1560"/>
            <w:tcMar>
              <w:top w:w="140" w:type="dxa"/>
              <w:bottom w:w="140" w:type="dxa"/>
              <w:left w:w="140" w:type="dxa"/>
              <w:right w:w="140" w:type="dxa"/>
            </w:tcMar>
            <w:shd w:fill="78281F"/>
            <w:tcBorders>
              <w:top w:val="single" w:sz="6" w:color="78281F"/>
              <w:bottom w:val="single" w:sz="12" w:color="78281F"/>
              <w:left w:val="none"/>
              <w:right w:val="none"/>
            </w:tcBorders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FFFFFF"/>
                <w:sz w:val="20"/>
                <w:rtl w:val="1"/>
                <w:szCs w:val="20"/>
                <w:bCs/>
              </w:rPr>
              <w:t>درمان انتخابی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19"/>
                <w:rtl w:val="1"/>
                <w:szCs w:val="19"/>
                <w:bCs/>
              </w:rPr>
              <w:t xml:space="preserve">نارسایی سیستولیک </w:t>
            </w:r>
            <w:r>
              <w:rPr>
                <w:rFonts w:ascii="Dubai" w:hAnsi="Dubai" w:cs="Dubai"/>
                <w:b/>
                <w:i w:val="0"/>
                <w:color w:val="78281F"/>
                <w:sz w:val="19"/>
                <w:rtl w:val="0"/>
                <w:szCs w:val="19"/>
                <w:bCs/>
              </w:rPr>
              <w:t xml:space="preserve"> (HFrEF) 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ایسکمی قلبی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(IHD)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 و دیلاته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افت انقباضی میوکارد ← افت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CO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 ← فعال‌سازی سمپاتیک و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RAAS 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تنگی نفس ارتوپنه + صدای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S3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 + وریدهای ژوگولار متسع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BNP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 و اکوکاردیوگرافی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TTE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(EF ≤ 40%) 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چهارگانه طلایی: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ARNI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 + بتابلوکر +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MRA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 +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SGLT2i 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/>
                <w:i w:val="0"/>
                <w:color w:val="78281F"/>
                <w:sz w:val="19"/>
                <w:rtl w:val="1"/>
                <w:szCs w:val="19"/>
                <w:bCs/>
              </w:rPr>
              <w:t xml:space="preserve">نارسایی دیاستولیک </w:t>
            </w:r>
            <w:r>
              <w:rPr>
                <w:rFonts w:ascii="Dubai" w:hAnsi="Dubai" w:cs="Dubai"/>
                <w:b/>
                <w:i w:val="0"/>
                <w:color w:val="78281F"/>
                <w:sz w:val="19"/>
                <w:rtl w:val="0"/>
                <w:szCs w:val="19"/>
                <w:bCs/>
              </w:rPr>
              <w:t xml:space="preserve"> (HFpEF) 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>پرفشاری خون مزمن در سالمندان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>کاهش کمپلیانس و شل‌شدن دیاستولیک ← افزایش فشارهای پرشدگی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تنگی نفس فعالیتی + صدای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S4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 + فشارخون بالا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اکوکاردیوگرافی داپلر بافتی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(EF ≥ 50%) 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40" w:type="dxa"/>
              <w:right w:w="140" w:type="dxa"/>
            </w:tcMar>
            <w:shd w:fill="FDFEFE"/>
            <w:tcBorders>
              <w:top w:val="none"/>
              <w:bottom w:val="single" w:sz="4" w:color="E0E0E0"/>
              <w:left w:val="none"/>
              <w:right w:val="none"/>
            </w:tcBorders>
          </w:tcPr>
          <w:p>
            <w:pPr>
              <w:spacing w:before="20" w:after="40" w:line="276" w:lineRule="auto"/>
              <w:jc w:val="right"/>
              <w:bidi w:val="1"/>
            </w:pP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مهارکننده‌های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0"/>
                <w:szCs w:val="19"/>
              </w:rPr>
              <w:t xml:space="preserve"> SGLT2 </w:t>
            </w:r>
            <w:r>
              <w:rPr>
                <w:rFonts w:ascii="Dubai" w:hAnsi="Dubai" w:cs="Dubai"/>
                <w:b w:val="0"/>
                <w:i w:val="0"/>
                <w:color w:val="262626"/>
                <w:sz w:val="19"/>
                <w:rtl w:val="1"/>
                <w:szCs w:val="19"/>
              </w:rPr>
              <w:t xml:space="preserve"> + کنترل فشارخون و دیورتیک</w:t>
            </w:r>
          </w:p>
        </w:tc>
      </w:tr>
    </w:tbl>
    <w:p>
      <w:pPr>
        <w:spacing w:before="0" w:after="160" w:line="276" w:lineRule="auto"/>
        <w:jc w:val="right"/>
        <w:bidi w:val="1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