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line="276" w:lineRule="auto"/>
        <w:bidi/>
        <w:jc w:val="center"/>
      </w:pPr>
      <w:r>
        <w:rPr>
          <w:rFonts w:ascii="Dubai" w:hAnsi="Dubai" w:cs="Dubai"/>
          <w:b/>
          <w:i w:val="0"/>
          <w:color w:val="B00020"/>
          <w:sz w:val="20"/>
          <w:rtl w:val="1"/>
          <w:szCs w:val="20"/>
          <w:bCs/>
        </w:rPr>
        <w:t>══════════════════════════════════════════════════════════════════</w:t>
      </w:r>
    </w:p>
    <w:p>
      <w:pPr>
        <w:spacing w:before="80" w:after="80" w:line="276" w:lineRule="auto"/>
        <w:bidi/>
        <w:jc w:val="center"/>
      </w:pPr>
      <w:r>
        <w:rPr>
          <w:rFonts w:ascii="Dubai" w:hAnsi="Dubai" w:cs="Dubai"/>
          <w:b/>
          <w:i w:val="0"/>
          <w:color w:val="B00020"/>
          <w:sz w:val="26"/>
          <w:rtl w:val="1"/>
          <w:szCs w:val="26"/>
          <w:bCs/>
        </w:rPr>
        <w:t>هشدار ممیزی شواهد واقعی (REAL-WORLD EVIDENCE AUDIT NOTICE)</w:t>
      </w:r>
    </w:p>
    <w:p>
      <w:pPr>
        <w:spacing w:before="80" w:after="80" w:line="276" w:lineRule="auto"/>
        <w:bidi/>
        <w:jc w:val="center"/>
      </w:pPr>
      <w:r>
        <w:rPr>
          <w:rFonts w:ascii="Dubai" w:hAnsi="Dubai" w:cs="Dubai"/>
          <w:b/>
          <w:i w:val="0"/>
          <w:color w:val="C00000"/>
          <w:sz w:val="24"/>
          <w:rtl w:val="1"/>
          <w:szCs w:val="24"/>
          <w:bCs/>
        </w:rPr>
        <w:t>وضعیت سند: پیش‌نویس مشروط — اعتبارسنجی تجربی ناموفق (DRAFT — EVIDENCE AUDIT FAILED)</w:t>
      </w:r>
    </w:p>
    <w:p>
      <w:pPr>
        <w:spacing w:before="80" w:after="160" w:line="276" w:lineRule="auto"/>
        <w:bidi/>
        <w:jc w:val="both"/>
      </w:pPr>
      <w:r>
        <w:rPr>
          <w:rFonts w:ascii="Dubai" w:hAnsi="Dubai" w:cs="Dubai"/>
          <w:b w:val="0"/>
          <w:i/>
          <w:color w:val="555555"/>
          <w:sz w:val="20"/>
          <w:rtl w:val="1"/>
          <w:szCs w:val="20"/>
          <w:iCs/>
        </w:rPr>
        <w:t>بر اساس الزامات ممیزی تجربی نسخه v8.7، این پیش‌نویس به دلیل شناسایی ۴ خطای بحرانی ناهمخوانی مداخله (Refs 8, 18, 23, 24 حاوی اروسین، اوژنول، ماترین و ژولکینولید به جای لوپئول/NDV) و نشت توکن‌های قالبی در ۱۵ پاراگراف پیشینه، فاقد تأییدیه علمی نهایی است و صرفاً به عنوان سند ممیزی خصمانه صادر می‌گردد.</w:t>
      </w:r>
    </w:p>
    <w:p>
      <w:pPr>
        <w:spacing w:before="40" w:after="360" w:line="276" w:lineRule="auto"/>
        <w:bidi/>
        <w:jc w:val="center"/>
      </w:pPr>
      <w:r>
        <w:rPr>
          <w:rFonts w:ascii="Dubai" w:hAnsi="Dubai" w:cs="Dubai"/>
          <w:b/>
          <w:i w:val="0"/>
          <w:color w:val="B00020"/>
          <w:sz w:val="20"/>
          <w:rtl w:val="1"/>
          <w:szCs w:val="20"/>
          <w:bCs/>
        </w:rPr>
        <w:t>══════════════════════════════════════════════════════════════════</w:t>
      </w:r>
    </w:p>
    <w:p>
      <w:pPr>
        <w:spacing w:before="280" w:after="160" w:line="276" w:lineRule="auto"/>
        <w:bidi/>
        <w:jc w:val="center"/>
      </w:pPr>
      <w:r>
        <w:rPr>
          <w:rFonts w:ascii="Dubai" w:hAnsi="Dubai" w:cs="Dubai"/>
          <w:b/>
          <w:i w:val="0"/>
          <w:color w:val="1A237E"/>
          <w:sz w:val="32"/>
          <w:rtl w:val="1"/>
          <w:szCs w:val="32"/>
          <w:bCs/>
        </w:rPr>
        <w:t>پروپوزال طرح تحقیقاتی دانشگاهی (پایان‌نامه / طرح پژوهشی)</w:t>
      </w:r>
    </w:p>
    <w:p>
      <w:pPr>
        <w:spacing w:before="240" w:after="120" w:line="276" w:lineRule="auto"/>
        <w:bidi/>
        <w:jc w:val="right"/>
      </w:pPr>
      <w:r>
        <w:rPr>
          <w:rFonts w:ascii="Dubai" w:hAnsi="Dubai" w:cs="Dubai"/>
          <w:b/>
          <w:i w:val="0"/>
          <w:color w:val="0D47A1"/>
          <w:sz w:val="26"/>
          <w:rtl w:val="1"/>
          <w:szCs w:val="26"/>
          <w:bCs/>
        </w:rPr>
        <w:t>۱. موضوع (Title)</w:t>
      </w:r>
    </w:p>
    <w:p>
      <w:pPr>
        <w:spacing w:before="40" w:after="70" w:line="276" w:lineRule="auto"/>
        <w:bidi/>
        <w:jc w:val="both"/>
      </w:pPr>
      <w:r>
        <w:rPr>
          <w:rFonts w:ascii="Dubai" w:hAnsi="Dubai" w:cs="Dubai"/>
          <w:b w:val="0"/>
          <w:i w:val="0"/>
          <w:color w:val="000000"/>
          <w:sz w:val="22"/>
          <w:rtl w:val="1"/>
          <w:szCs w:val="22"/>
        </w:rPr>
        <w:t>▪ **عنوان فارسی (Persian Title):**</w:t>
      </w:r>
    </w:p>
    <w:p>
      <w:pPr>
        <w:spacing w:before="40" w:after="70" w:line="276" w:lineRule="auto"/>
        <w:bidi/>
        <w:jc w:val="both"/>
      </w:pPr>
      <w:r>
        <w:rPr>
          <w:rFonts w:ascii="Dubai" w:hAnsi="Dubai" w:cs="Dubai"/>
          <w:b w:val="0"/>
          <w:i w:val="0"/>
          <w:color w:val="000000"/>
          <w:sz w:val="22"/>
          <w:rtl w:val="1"/>
          <w:szCs w:val="22"/>
        </w:rPr>
        <w:t>بررسی اثرات همزمان و هم‌افزایی لوپئول و ویروس بیماری نیوکاسل بر میزان مهار رشد رده سلول سرطانی ریه (A549) در شرایط آزمایشگاهی</w:t>
      </w:r>
    </w:p>
    <w:p>
      <w:pPr>
        <w:spacing w:before="40" w:after="70" w:line="276" w:lineRule="auto"/>
        <w:bidi/>
        <w:jc w:val="both"/>
      </w:pPr>
      <w:r>
        <w:rPr>
          <w:rFonts w:ascii="Dubai" w:hAnsi="Dubai" w:cs="Dubai"/>
          <w:b w:val="0"/>
          <w:i w:val="0"/>
          <w:color w:val="000000"/>
          <w:sz w:val="22"/>
          <w:rtl w:val="1"/>
          <w:szCs w:val="22"/>
        </w:rPr>
        <w:t>▪ **عنوان انگلیسی (English Title):**</w:t>
      </w:r>
    </w:p>
    <w:p>
      <w:pPr>
        <w:spacing w:before="40" w:after="70" w:line="276" w:lineRule="auto"/>
        <w:bidi/>
        <w:jc w:val="both"/>
      </w:pPr>
      <w:r>
        <w:rPr>
          <w:rFonts w:ascii="Dubai" w:hAnsi="Dubai" w:cs="Dubai"/>
          <w:b w:val="0"/>
          <w:i w:val="0"/>
          <w:color w:val="000000"/>
          <w:sz w:val="22"/>
          <w:rtl w:val="1"/>
          <w:szCs w:val="22"/>
        </w:rPr>
        <w:t>Evaluation of the Combined and Synergistic Effects of Lupeol and Newcastle Disease Virus on Growth Inhibition of Lung Cancer Cell Line (A549) In Vitro</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۲. بیان مسئله (Problem Statement)</w:t>
      </w:r>
    </w:p>
    <w:p>
      <w:pPr>
        <w:spacing w:before="40" w:after="70" w:line="276" w:lineRule="auto"/>
        <w:bidi/>
        <w:jc w:val="both"/>
      </w:pPr>
      <w:r>
        <w:rPr>
          <w:rFonts w:ascii="Dubai" w:hAnsi="Dubai" w:cs="Dubai"/>
          <w:b w:val="0"/>
          <w:i w:val="0"/>
          <w:color w:val="000000"/>
          <w:sz w:val="22"/>
          <w:rtl w:val="1"/>
          <w:szCs w:val="22"/>
        </w:rPr>
        <w:t>سرطان ریه و به‌ویژه کارسینوم ریه سلول غیرکوچک (Non-Small Cell Lung Cancer; NSCLC) با منشأ آدنوکارسینوما، یکی از علل اصلی مرگ‌ومیر ناشی از بدخیمی‌ها در سراسر جهان است. سلول‌های آدنوکارسینومای ریه رده A549 به دلیل اختلالات ژنتیکی گسترده و فعال‌سازی مداوم مسیرهای بقای سلولی نظیر Akt/MAPK و فرار از آپوپتوز با واسطه اختلالات مسیر میتوکندریایی (Bax/Bcl-2)، پاسخ‌دهی درمانی محدودی به رژیم‌های رایج شیمی‌درمانی نشان می‌دهند و توسعه درمان‌های ترکیبی با مکانیسم‌های هم‌افزا اجتناب‌ناپذیر است.</w:t>
      </w:r>
    </w:p>
    <w:p>
      <w:pPr>
        <w:spacing w:before="40" w:after="70" w:line="276" w:lineRule="auto"/>
        <w:bidi/>
        <w:jc w:val="both"/>
      </w:pPr>
      <w:r>
        <w:rPr>
          <w:rFonts w:ascii="Dubai" w:hAnsi="Dubai" w:cs="Dubai"/>
          <w:b w:val="0"/>
          <w:i w:val="0"/>
          <w:color w:val="000000"/>
          <w:sz w:val="22"/>
          <w:rtl w:val="1"/>
          <w:szCs w:val="22"/>
        </w:rPr>
        <w:t>لوپئول (Lupeol) به عنوان یک تری‌ترپنوئید پنج‌حلقه‌ای طبیعی با فرمول ساختاری لوپان، اثرات ضدتکثیری و پیش‌آپوپتوتیک متعددی را از طریق القای مسیر میتوکندریایی و مهار مسیرهای پیش‌تکثیری نشان داده است. با این حال، به دلیل آب‌گریزی بالا و محدودیت حلالیت زیستی، در شرایط برون‌تن (in vitro) نیازمند کنترل دقیق غلظت تا سقف ۸۰ میکرومولار و کنترل غلظت حلال DMSO در حد حداکثر ۰.۱ درصد حجمی می‌باشد. از سوی دیگر، ویروس بیماری نیوکاسل (Newcastle Disease Virus; NDV) یک پارامیکسو ویروس پرندگان با خاصیت انکولیتیک ذاتی در سلول‌های پستانداران است که با تکیه بر نقص مسیر پیام‌رسانی اینترفرون نوع یک (IFN-I) در سلول‌های توموری، تکثیر انتخابی یافته و از طریق تشکیل سین‌سیشیوم و تجزیه توموری آپوپتوز وابسته به کاسپاز را القا می‌کند.</w:t>
      </w:r>
    </w:p>
    <w:p>
      <w:pPr>
        <w:spacing w:before="40" w:after="70" w:line="276" w:lineRule="auto"/>
        <w:bidi/>
        <w:jc w:val="both"/>
      </w:pPr>
      <w:r>
        <w:rPr>
          <w:rFonts w:ascii="Dubai" w:hAnsi="Dubai" w:cs="Dubai"/>
          <w:b w:val="0"/>
          <w:i w:val="0"/>
          <w:color w:val="000000"/>
          <w:sz w:val="22"/>
          <w:rtl w:val="1"/>
          <w:szCs w:val="22"/>
        </w:rPr>
        <w:t>ممیزی جامع پایگاه‌های داده علمی نشان می‌دهد که اثرات تک‌دارویی لوپئول و انکولیز NDV به صورت جداگانه در مدل‌های تجربی گزارش شده است. با این حال، در پایگاه‌ها، بازه زمانی، و راهبردهای جستجوی ثبت‌شده در این ممیزی، مطالعه تجربی مستقیمی که ترکیب همزمان Pure Lupeol و NDV را در A549 بررسی کرده باشد شناسایی نشد. لذا ارزیابی احتمال برهم‌کنش هم‌افزا (Synergism) صرفاً به عنوان یک فرضیه پژوهشی تجربی (Hypothesis) بر پایه آزمون‌های بیومتینیک کمی و معادله شاخص ترکیبی چو-تالاتای، در این طرح مورد آزمون قرار می‌گیرد.</w:t>
      </w:r>
    </w:p>
    <w:p>
      <w:pPr>
        <w:spacing w:before="160" w:after="80" w:line="276" w:lineRule="auto"/>
        <w:bidi/>
        <w:jc w:val="right"/>
      </w:pPr>
      <w:r>
        <w:rPr>
          <w:rFonts w:ascii="Dubai" w:hAnsi="Dubai" w:cs="Dubai"/>
          <w:b/>
          <w:i w:val="0"/>
          <w:color w:val="1565C0"/>
          <w:sz w:val="23"/>
          <w:rtl w:val="1"/>
          <w:szCs w:val="23"/>
          <w:bCs/>
        </w:rPr>
        <w:t>شکاف‌های پژوهشی شناسایی‌شده بر پایه شواهد:</w:t>
      </w:r>
    </w:p>
    <w:p>
      <w:pPr>
        <w:spacing w:before="40" w:after="40" w:line="276" w:lineRule="auto"/>
        <w:bidi/>
        <w:jc w:val="both"/>
      </w:pPr>
      <w:r>
        <w:rPr>
          <w:rFonts w:ascii="Dubai" w:hAnsi="Dubai" w:cs="Dubai"/>
          <w:b w:val="0"/>
          <w:i w:val="0"/>
          <w:color w:val="000000"/>
          <w:sz w:val="21"/>
          <w:rtl w:val="1"/>
          <w:szCs w:val="21"/>
        </w:rPr>
        <w:t>• **شکاف پژوهشی (MODEL_GAP):** Only 0 studies evaluate target system 'a549 human lung adenocarcinoma cell line with normal beas-2b controls' directly. -&gt; *راهکار طرح حاضر:* Conduct systematic empirical validation directly within target biological lineage or patient population.</w:t>
      </w:r>
    </w:p>
    <w:p>
      <w:pPr>
        <w:spacing w:before="40" w:after="40" w:line="276" w:lineRule="auto"/>
        <w:bidi/>
        <w:jc w:val="both"/>
      </w:pPr>
      <w:r>
        <w:rPr>
          <w:rFonts w:ascii="Dubai" w:hAnsi="Dubai" w:cs="Dubai"/>
          <w:b w:val="0"/>
          <w:i w:val="0"/>
          <w:color w:val="000000"/>
          <w:sz w:val="21"/>
          <w:rtl w:val="1"/>
          <w:szCs w:val="21"/>
        </w:rPr>
        <w:t>• **شکاف پژوهشی (COMBINATION_GAP):** Within searched databases and specified retrieval windows, no direct empirical study evaluating the simultaneous combination of lupeol, newcastle disease virus was identified. -&gt; *راهکار طرح حاضر:* Execute formal multi-agent matrix titration and quantitative synergy evaluation.</w:t>
      </w:r>
    </w:p>
    <w:p>
      <w:pPr>
        <w:spacing w:before="40" w:after="40" w:line="276" w:lineRule="auto"/>
        <w:bidi/>
        <w:jc w:val="both"/>
      </w:pPr>
      <w:r>
        <w:rPr>
          <w:rFonts w:ascii="Dubai" w:hAnsi="Dubai" w:cs="Dubai"/>
          <w:b w:val="0"/>
          <w:i w:val="0"/>
          <w:color w:val="000000"/>
          <w:sz w:val="21"/>
          <w:rtl w:val="1"/>
          <w:szCs w:val="21"/>
        </w:rPr>
        <w:t>• **شکاف پژوهشی (DOSE_GAP):** Quantitative dose-response boundaries and non-toxic vehicle limits are under-reported. -&gt; *راهکار طرح حاضر:* Establish rigorous multi-point concentration-response curves within validated non-toxic thresholds.</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۳. مرور بر منابع (Literature Review)</w:t>
      </w:r>
    </w:p>
    <w:p>
      <w:pPr>
        <w:spacing w:before="40" w:after="70" w:line="276" w:lineRule="auto"/>
        <w:bidi/>
        <w:jc w:val="both"/>
      </w:pPr>
      <w:r>
        <w:rPr>
          <w:rFonts w:ascii="Dubai" w:hAnsi="Dubai" w:cs="Dubai"/>
          <w:b w:val="0"/>
          <w:i w:val="0"/>
          <w:color w:val="000000"/>
          <w:sz w:val="22"/>
          <w:rtl w:val="1"/>
          <w:szCs w:val="22"/>
        </w:rPr>
        <w:t>**Chen Z و همکاران (2024)** در مطالعه‌ای با طراحی **مطالعه تجربی**، به بررسی اثرات **عامل مداخله (با تمرکز بر مشتقات شیمیایی سنتزشده)** در سطح **مدل بیولوژیک** در مقایسه با گروه کنترل استاندارد پرداختند [1]. هدف این بررسی، سنجش پیامدهایی نظیر شاخص‌های عملکردی و بیوشیمیایی گزارش شده است. یافته‌های به‌دست‌آمده نشان داد که Design, synthesis and antitumor effects of lupeol quaternary phosphonium salt derivatives.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[1].</w:t>
      </w:r>
    </w:p>
    <w:p>
      <w:pPr>
        <w:spacing w:before="40" w:after="70" w:line="276" w:lineRule="auto"/>
        <w:bidi/>
        <w:jc w:val="both"/>
      </w:pPr>
      <w:r>
        <w:rPr>
          <w:rFonts w:ascii="Dubai" w:hAnsi="Dubai" w:cs="Dubai"/>
          <w:b w:val="0"/>
          <w:i w:val="0"/>
          <w:color w:val="000000"/>
          <w:sz w:val="22"/>
          <w:rtl w:val="1"/>
          <w:szCs w:val="22"/>
        </w:rPr>
        <w:t>**Zhao Y و همکاران (2026)** در مطالعه‌ای با طراحی **مطالعه تجربی**، به بررسی اثرات **عامل مداخله (با تمرکز بر مشتقات شیمیایی سنتزشده)** در سطح **مدل بیولوژیک** در مقایسه با گروه کنترل استاندارد پرداختند [2]. هدف این بررسی، سنجش پیامدهایی نظیر شاخص‌های عملکردی و بیوشیمیایی گزارش شده است. یافته‌های به‌دست‌آمده نشان داد که Development of lupeol derivatives based on tubulin-targeting strategy: structural modification and correlation analysis of antitumor activity.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[2].</w:t>
      </w:r>
    </w:p>
    <w:p>
      <w:pPr>
        <w:spacing w:before="40" w:after="70" w:line="276" w:lineRule="auto"/>
        <w:bidi/>
        <w:jc w:val="both"/>
      </w:pPr>
      <w:r>
        <w:rPr>
          <w:rFonts w:ascii="Dubai" w:hAnsi="Dubai" w:cs="Dubai"/>
          <w:b w:val="0"/>
          <w:i w:val="0"/>
          <w:color w:val="000000"/>
          <w:sz w:val="22"/>
          <w:rtl w:val="1"/>
          <w:szCs w:val="22"/>
        </w:rPr>
        <w:t>**Seglab F و همکاران (2024)** در مطالعه‌ای با طراحی **مطالعه تجربی**، به بررسی اثرات **عامل مداخله (در قالب عصاره تام گیاهی حاوی این فیتوکمیکال)** در سطح **مدل بیولوژیک** در مقایسه با گروه کنترل استاندارد پرداختند [3]. هدف این بررسی، سنجش پیامدهایی نظیر شاخص‌های عملکردی و بیوشیمیایی گزارش شده است. یافته‌های به‌دست‌آمده نشان داد که Chemical Composition, Antioxidant Capacity, and Anticancerous Effects against Human Lung Cancer Cells of a Terpenoid-Rich Fraction of Inula viscosa.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[3].</w:t>
      </w:r>
    </w:p>
    <w:p>
      <w:pPr>
        <w:spacing w:before="40" w:after="70" w:line="276" w:lineRule="auto"/>
        <w:bidi/>
        <w:jc w:val="both"/>
      </w:pPr>
      <w:r>
        <w:rPr>
          <w:rFonts w:ascii="Dubai" w:hAnsi="Dubai" w:cs="Dubai"/>
          <w:b w:val="0"/>
          <w:i w:val="0"/>
          <w:color w:val="000000"/>
          <w:sz w:val="22"/>
          <w:rtl w:val="1"/>
          <w:szCs w:val="22"/>
        </w:rPr>
        <w:t>**Tian S و همکاران (2024)** در مطالعه‌ای با طراحی **مطالعه تجربی**، به بررسی اثرات **عامل مداخله (با تمرکز بر مشتقات شیمیایی سنتزشده)** در سطح **مدل بیولوژیک** در مقایسه با گروه کنترل استاندارد پرداختند [4]. هدف این بررسی، سنجش پیامدهایی نظیر شاخص‌های عملکردی و بیوشیمیایی گزارش شده است. یافته‌های به‌دست‌آمده نشان داد که Lupeol-3-carbamate Derivatives: Synthesis and Biological Evaluation as Potential Antitumor Agents.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[4].</w:t>
      </w:r>
    </w:p>
    <w:p>
      <w:pPr>
        <w:spacing w:before="40" w:after="70" w:line="276" w:lineRule="auto"/>
        <w:bidi/>
        <w:jc w:val="both"/>
      </w:pPr>
      <w:r>
        <w:rPr>
          <w:rFonts w:ascii="Dubai" w:hAnsi="Dubai" w:cs="Dubai"/>
          <w:b w:val="0"/>
          <w:i w:val="0"/>
          <w:color w:val="000000"/>
          <w:sz w:val="22"/>
          <w:rtl w:val="1"/>
          <w:szCs w:val="22"/>
        </w:rPr>
        <w:t>**Zhao C و همکاران (2025)** در مطالعه‌ای پیرامون برهم‌کنش ویروس نیوکاسل و متابولیسم سلول‌های A549 [5]، نشان دادند که عفونت NDV موجب تغییرات ساختاری میتوکندری و استرس اکسیداتیو می‌گردد. با این حال، در سلول‌های A549 حضور ژن p53 نوع وحشی به عنوان ضربه‌گیر متابولیک عمل نموده و مانع از تخلیه سریع انرژی و سمیت سلولی ناشی از ROS می‌شود. این یافته‌ها نشان‌دهنده تاب‌آوری متابولیک سلول‌های A549 در برابر انکولیز تک‌عاملی NDV بوده و نیاز به مداخله همزمان با ترکیباتی که مسیرهای بقای میتوکندریایی را مهار می‌کنند، توجیه می‌نماید [5].</w:t>
      </w:r>
    </w:p>
    <w:p>
      <w:pPr>
        <w:spacing w:before="40" w:after="70" w:line="276" w:lineRule="auto"/>
        <w:bidi/>
        <w:jc w:val="both"/>
      </w:pPr>
      <w:r>
        <w:rPr>
          <w:rFonts w:ascii="Dubai" w:hAnsi="Dubai" w:cs="Dubai"/>
          <w:b w:val="0"/>
          <w:i w:val="0"/>
          <w:color w:val="000000"/>
          <w:sz w:val="22"/>
          <w:rtl w:val="1"/>
          <w:szCs w:val="22"/>
        </w:rPr>
        <w:t>**Liang Y و همکاران (2021)** در مطالعه‌ای با طراحی **مطالعه تجربی**، به بررسی اثرات **عامل مداخله** در سطح **مدل بیولوژیک** در مقایسه با گروه کنترل استاندارد پرداختند [6]. هدف این بررسی، سنجش پیامدهایی نظیر شاخص‌های عملکردی و بیوشیمیایی گزارش شده است. یافته‌های به‌دست‌آمده نشان داد که MicroRNA-204 plays a role as a tumor suppressor in Newcastle disease virus-induced oncolysis in lung cancer A549 cells.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[6].</w:t>
      </w:r>
    </w:p>
    <w:p>
      <w:pPr>
        <w:spacing w:before="40" w:after="70" w:line="276" w:lineRule="auto"/>
        <w:bidi/>
        <w:jc w:val="both"/>
      </w:pPr>
      <w:r>
        <w:rPr>
          <w:rFonts w:ascii="Dubai" w:hAnsi="Dubai" w:cs="Dubai"/>
          <w:b w:val="0"/>
          <w:i w:val="0"/>
          <w:color w:val="000000"/>
          <w:sz w:val="22"/>
          <w:rtl w:val="1"/>
          <w:szCs w:val="22"/>
        </w:rPr>
        <w:t>**Rosewell Shaw A و همکاران (2024)** در مطالعه‌ای با طراحی **مطالعه تجربی**، به بررسی اثرات **عامل مداخله [در پلتفرم ویروسی هیبرید مهندسی‌شده]** در سطح **مدل بیولوژیک** در مقایسه با گروه کنترل استاندارد پرداختند [7]. هدف این بررسی، سنجش پیامدهایی نظیر شاخص‌های عملکردی و بیوشیمیایی گزارش شده است. یافته‌های به‌دست‌آمده نشان داد که IL-12 encoding oNDV synergizes with CAR-T cells in orthotopic models of non-small cell lung cancer.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[7].</w:t>
      </w:r>
    </w:p>
    <w:p>
      <w:pPr>
        <w:spacing w:before="40" w:after="70" w:line="276" w:lineRule="auto"/>
        <w:bidi/>
        <w:jc w:val="both"/>
      </w:pPr>
      <w:r>
        <w:rPr>
          <w:rFonts w:ascii="Dubai" w:hAnsi="Dubai" w:cs="Dubai"/>
          <w:b w:val="0"/>
          <w:i w:val="0"/>
          <w:color w:val="000000"/>
          <w:sz w:val="22"/>
          <w:rtl w:val="1"/>
          <w:szCs w:val="22"/>
        </w:rPr>
        <w:t>**Kumar A و همکاران (2026)** در مطالعه‌ای با طراحی **مطالعه تجربی**، به بررسی اثرات **عامل مداخله** در سطح **مدل بیولوژیک** در مقایسه با گروه کنترل استاندارد پرداختند [8]. هدف این بررسی، سنجش پیامدهایی نظیر شاخص‌های عملکردی و بیوشیمیایی گزارش شده است. یافته‌های به‌دست‌آمده نشان داد که In silico and in vitro evaluation of synergistic anticancer effects of erucin and kaempferol from Eruca sativa against human A549 non-small cell lung cancer cells (NSCLC).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[8].</w:t>
      </w:r>
    </w:p>
    <w:p>
      <w:pPr>
        <w:spacing w:before="40" w:after="70" w:line="276" w:lineRule="auto"/>
        <w:bidi/>
        <w:jc w:val="both"/>
      </w:pPr>
      <w:r>
        <w:rPr>
          <w:rFonts w:ascii="Dubai" w:hAnsi="Dubai" w:cs="Dubai"/>
          <w:b w:val="0"/>
          <w:i w:val="0"/>
          <w:color w:val="000000"/>
          <w:sz w:val="22"/>
          <w:rtl w:val="1"/>
          <w:szCs w:val="22"/>
        </w:rPr>
        <w:t>**Sun Y و همکاران (2026)** با بهره‌گیری از آنالیز چندامیکسی یکپارچه (ترانسکریپتومیکس، پروتئومیکس و متابولومیکس) در سلول‌های A549 [9]، اثبات کردند که عفونت NDV متابولیسم گلیسروفسفولیپیدهای میزبان را بازآرایی کرده و مسیرهای بیوسنتز چربی را در جهت تسهیل همانندسازی ویروس هدایت می‌کند. این داده‌های متابولومیک آسیب‌پذیری‌های زیستی سلول‌های آدنوکارسینوما را در مواجهه با عفونت ویروسی تبیین می‌سازند [9].</w:t>
      </w:r>
    </w:p>
    <w:p>
      <w:pPr>
        <w:spacing w:before="40" w:after="70" w:line="276" w:lineRule="auto"/>
        <w:bidi/>
        <w:jc w:val="both"/>
      </w:pPr>
      <w:r>
        <w:rPr>
          <w:rFonts w:ascii="Dubai" w:hAnsi="Dubai" w:cs="Dubai"/>
          <w:b w:val="0"/>
          <w:i w:val="0"/>
          <w:color w:val="000000"/>
          <w:sz w:val="22"/>
          <w:rtl w:val="1"/>
          <w:szCs w:val="22"/>
        </w:rPr>
        <w:t>**Aborehab NM و همکاران (2023)** در مطالعه‌ای با طراحی **مطالعه تجربی**، به بررسی اثرات **عامل مداخله (در قالب عصاره تام گیاهی حاوی این فیتوکمیکال)** در سطح **مدل بیولوژیک** در مقایسه با گروه کنترل استاندارد پرداختند [10]. هدف این بررسی، سنجش پیامدهایی نظیر شاخص‌های عملکردی و بیوشیمیایی گزارش شده است. یافته‌های به‌دست‌آمده نشان داد که A novel lupene derivative from Thymus capitatus possesses an apoptosis-inducing effect via Let-7 miRNA/Cyclin D1/VEGF cascade in the A549 cell line.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[10].</w:t>
      </w:r>
    </w:p>
    <w:p>
      <w:pPr>
        <w:spacing w:before="40" w:after="70" w:line="276" w:lineRule="auto"/>
        <w:bidi/>
        <w:jc w:val="both"/>
      </w:pPr>
      <w:r>
        <w:rPr>
          <w:rFonts w:ascii="Dubai" w:hAnsi="Dubai" w:cs="Dubai"/>
          <w:b w:val="0"/>
          <w:i w:val="0"/>
          <w:color w:val="000000"/>
          <w:sz w:val="22"/>
          <w:rtl w:val="1"/>
          <w:szCs w:val="22"/>
        </w:rPr>
        <w:t>**Ali Akbar Esfahani M و همکاران (2026)** در مطالعه‌ای با طراحی **مطالعه تجربی**، به بررسی اثرات **عامل مداخله** در سطح **مدل بیولوژیک** در مقایسه با گروه کنترل استاندارد پرداختند [11]. هدف این بررسی، سنجش پیامدهایی نظیر شاخص‌های عملکردی و بیوشیمیایی گزارش شده است. یافته‌های به‌دست‌آمده نشان داد که Evaluation of the Effects of Newcastle Disease Virus as an Oncolytic Virus on the Expression of Apoptosis-related Genes in TC-1 Cell Line.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[11].</w:t>
      </w:r>
    </w:p>
    <w:p>
      <w:pPr>
        <w:spacing w:before="40" w:after="70" w:line="276" w:lineRule="auto"/>
        <w:bidi/>
        <w:jc w:val="both"/>
      </w:pPr>
      <w:r>
        <w:rPr>
          <w:rFonts w:ascii="Dubai" w:hAnsi="Dubai" w:cs="Dubai"/>
          <w:b w:val="0"/>
          <w:i w:val="0"/>
          <w:color w:val="000000"/>
          <w:sz w:val="22"/>
          <w:rtl w:val="1"/>
          <w:szCs w:val="22"/>
        </w:rPr>
        <w:t>**Deng S و همکاران (2024)** در مطالعه‌ای با طراحی **مطالعه تجربی**، به بررسی اثرات **عامل مداخله (با تمرکز بر مشتقات شیمیایی سنتزشده)** در سطح **مدل بیولوژیک** در مقایسه با گروه کنترل استاندارد پرداختند [12]. هدف این بررسی، سنجش پیامدهایی نظیر شاخص‌های عملکردی و بیوشیمیایی گزارش شده است. یافته‌های به‌دست‌آمده نشان داد که Thiazolidinedione-Conjugated Lupeol Derivatives as Potent Anticancer Agents Through a Mitochondria-Mediated Apoptotic Pathway.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[12].</w:t>
      </w:r>
    </w:p>
    <w:p>
      <w:pPr>
        <w:spacing w:before="40" w:after="70" w:line="276" w:lineRule="auto"/>
        <w:bidi/>
        <w:jc w:val="both"/>
      </w:pPr>
      <w:r>
        <w:rPr>
          <w:rFonts w:ascii="Dubai" w:hAnsi="Dubai" w:cs="Dubai"/>
          <w:b w:val="0"/>
          <w:i w:val="0"/>
          <w:color w:val="000000"/>
          <w:sz w:val="22"/>
          <w:rtl w:val="1"/>
          <w:szCs w:val="22"/>
        </w:rPr>
        <w:t>**Bhatt M و همکاران (2021)** در مطالعه‌ای تجربی بر روی سلول‌های آدنوکارسینومای ریه رده A549 [13]، به ارزیابی اثرات لوپئول طبیعی خالص پرداختند. نکته کلیدی و تمایزبخش این مطالعه آن است که لوپئول در دوزهای غیرسمی تحت‌آزمون فاقد سمیت سلولی مستقیم (No Cytotoxic Effects) بر رده A549 بود، اما توانست به شکل معناداری مهاجرت و تهاجم سلولی را از طریق مهار فسفوریلاسیون مسیر MAPK/ERK و سرکوب مارکرهای گذار اپیتلیال-مزانشیمی (N-cadherin و Vimentin) مهار نماید. این شواهد اثبات می‌کند که لوپئول خالص در غلظت‌های فیزیولوژیک عامل کشنده مستقیم نیست و نقش آن ضد مهاجرت است؛ لذا ترکیب آن با یک عامل فعال انکولیتیک نظیر ویروس نیوکاسل برای دستیابی همزمان به مهار رشد، انکولیز و آپوپتوز، از توجیه بیولوژیک بالایی برخوردار است [13].</w:t>
      </w:r>
    </w:p>
    <w:p>
      <w:pPr>
        <w:spacing w:before="40" w:after="70" w:line="276" w:lineRule="auto"/>
        <w:bidi/>
        <w:jc w:val="both"/>
      </w:pPr>
      <w:r>
        <w:rPr>
          <w:rFonts w:ascii="Dubai" w:hAnsi="Dubai" w:cs="Dubai"/>
          <w:b w:val="0"/>
          <w:i w:val="0"/>
          <w:color w:val="000000"/>
          <w:sz w:val="22"/>
          <w:rtl w:val="1"/>
          <w:szCs w:val="22"/>
        </w:rPr>
        <w:t>**Kortum F و همکاران (2025)** در مطالعه‌ای با طراحی **مطالعه تجربی**، به بررسی اثرات **عامل مداخله [در پلتفرم ویروسی هیبرید مهندسی‌شده]** در سطح **مدل بیولوژیک** در مقایسه با گروه کنترل استاندارد پرداختند [14]. هدف این بررسی، سنجش پیامدهایی نظیر شاخص‌های عملکردی و بیوشیمیایی گزارش شده است. یافته‌های به‌دست‌آمده نشان داد که Syncytial death mediated by oncolytic rVSV-NDV dynamically activates immunogenic apoptosis and necroptosis in human lung cancer cells.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[14].</w:t>
      </w:r>
    </w:p>
    <w:p>
      <w:pPr>
        <w:spacing w:before="40" w:after="70" w:line="276" w:lineRule="auto"/>
        <w:bidi/>
        <w:jc w:val="both"/>
      </w:pPr>
      <w:r>
        <w:rPr>
          <w:rFonts w:ascii="Dubai" w:hAnsi="Dubai" w:cs="Dubai"/>
          <w:b w:val="0"/>
          <w:i w:val="0"/>
          <w:color w:val="000000"/>
          <w:sz w:val="22"/>
          <w:rtl w:val="1"/>
          <w:szCs w:val="22"/>
        </w:rPr>
        <w:t>**Torres-Sanchez A و همکاران (2024)** در مطالعه‌ای با طراحی **مطالعه تجربی**، به بررسی اثرات **عامل مداخله** در سطح **مدل بیولوژیک** در مقایسه با گروه کنترل استاندارد پرداختند [15]. هدف این بررسی، سنجش پیامدهایی نظیر شاخص‌های عملکردی و بیوشیمیایی گزارش شده است. یافته‌های به‌دست‌آمده نشان داد که Unraveling the Impact of Six Pentacyclic Triterpenes Regulating Metabolic Pathways on Lung Carcinoma Cells.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[15].</w:t>
      </w:r>
    </w:p>
    <w:p>
      <w:pPr>
        <w:spacing w:before="40" w:after="70" w:line="276" w:lineRule="auto"/>
        <w:bidi/>
        <w:jc w:val="both"/>
      </w:pPr>
      <w:r>
        <w:rPr>
          <w:rFonts w:ascii="Dubai" w:hAnsi="Dubai" w:cs="Dubai"/>
          <w:b w:val="0"/>
          <w:i w:val="0"/>
          <w:color w:val="000000"/>
          <w:sz w:val="22"/>
          <w:rtl w:val="1"/>
          <w:szCs w:val="22"/>
        </w:rPr>
        <w:t>**Shehzadi S و همکاران (2025)** در مطالعه‌ای با طراحی **مطالعه تجربی**، به بررسی اثرات **عامل مداخله (در قالب عصاره تام گیاهی حاوی این فیتوکمیکال)** در سطح **مدل بیولوژیک** در مقایسه با گروه کنترل استاندارد پرداختند [16]. هدف این بررسی، سنجش پیامدهایی نظیر شاخص‌های عملکردی و بیوشیمیایی گزارش شده است. یافته‌های به‌دست‌آمده نشان داد که Unveiling the Phytochemical Profile and Anti-Cancer Potential of Lantana camara Leaf and Root Extracts Against MCF-7, HepG2, and A549 Cancer Cell Lines.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[16].</w:t>
      </w:r>
    </w:p>
    <w:p>
      <w:pPr>
        <w:spacing w:before="40" w:after="70" w:line="276" w:lineRule="auto"/>
        <w:bidi/>
        <w:jc w:val="both"/>
      </w:pPr>
      <w:r>
        <w:rPr>
          <w:rFonts w:ascii="Dubai" w:hAnsi="Dubai" w:cs="Dubai"/>
          <w:b w:val="0"/>
          <w:i w:val="0"/>
          <w:color w:val="000000"/>
          <w:sz w:val="22"/>
          <w:rtl w:val="1"/>
          <w:szCs w:val="22"/>
        </w:rPr>
        <w:t>**Ginting TE و همکاران (2026)** در مطالعه‌ای با طراحی **مطالعه تجربی**، به بررسی اثرات **عامل مداخله** در سطح **مدل بیولوژیک** در مقایسه با گروه کنترل استاندارد پرداختند [17]. هدف این بررسی، سنجش پیامدهایی نظیر شاخص‌های عملکردی و بیوشیمیایی گزارش شده است. یافته‌های به‌دست‌آمده نشان داد که Newcastle Disease Virus - Induced Interferons Regulate PD-L1 and MICA Expression in Human Tumor and Normal Cells.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[17].</w:t>
      </w:r>
    </w:p>
    <w:p>
      <w:pPr>
        <w:spacing w:before="40" w:after="70" w:line="276" w:lineRule="auto"/>
        <w:bidi/>
        <w:jc w:val="both"/>
      </w:pPr>
      <w:r>
        <w:rPr>
          <w:rFonts w:ascii="Dubai" w:hAnsi="Dubai" w:cs="Dubai"/>
          <w:b w:val="0"/>
          <w:i w:val="0"/>
          <w:color w:val="000000"/>
          <w:sz w:val="22"/>
          <w:rtl w:val="1"/>
          <w:szCs w:val="22"/>
        </w:rPr>
        <w:t>**Almalghooth HDM و همکاران (2026)** در مطالعه‌ای با طراحی **مطالعه تجربی**، به بررسی اثرات **عامل مداخله** در سطح **مدل بیولوژیک** در مقایسه با گروه کنترل استاندارد پرداختند [18]. هدف این بررسی، سنجش پیامدهایی نظیر شاخص‌های عملکردی و بیوشیمیایی گزارش شده است. یافته‌های به‌دست‌آمده نشان داد که Combination of paclitaxel with eugenol effectively enhances anticancer characteristics of paclitaxel on the A549 lung cancer cell line.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[18].</w:t>
      </w:r>
    </w:p>
    <w:p>
      <w:pPr>
        <w:spacing w:before="40" w:after="70" w:line="276" w:lineRule="auto"/>
        <w:bidi/>
        <w:jc w:val="both"/>
      </w:pPr>
      <w:r>
        <w:rPr>
          <w:rFonts w:ascii="Dubai" w:hAnsi="Dubai" w:cs="Dubai"/>
          <w:b w:val="0"/>
          <w:i w:val="0"/>
          <w:color w:val="000000"/>
          <w:sz w:val="22"/>
          <w:rtl w:val="1"/>
          <w:szCs w:val="22"/>
        </w:rPr>
        <w:t>**Mosmann T (1983)** در مطالعه شاخص متدولوژیک خود [19]، روش رنگ‌سنجی سریع احیای نمک تترازولیوم توسط دهیدروژنازهای میتوکندریایی سلول‌های زنده را جهت سنجش بقا و سمیت سلولی ابداع نمود. این سنجش استاندارد طلایی سنجش زیستایی سلول و برآورد غلظت بازدارنده ۵۰ درصد (IC50) در آزمون‌های برون‌تن به شمار می‌رود. در طرح جاری، این آزمون جهت اندازه‌گیری درصد مهار رشد سلول‌ها در مواجهه با تک‌درمانی‌ها و درمان توأم مورد استفاده قرار می‌گیرد [19].</w:t>
      </w:r>
    </w:p>
    <w:p>
      <w:pPr>
        <w:spacing w:before="40" w:after="70" w:line="276" w:lineRule="auto"/>
        <w:bidi/>
        <w:jc w:val="both"/>
      </w:pPr>
      <w:r>
        <w:rPr>
          <w:rFonts w:ascii="Dubai" w:hAnsi="Dubai" w:cs="Dubai"/>
          <w:b w:val="0"/>
          <w:i w:val="0"/>
          <w:color w:val="000000"/>
          <w:sz w:val="22"/>
          <w:rtl w:val="1"/>
          <w:szCs w:val="22"/>
        </w:rPr>
        <w:t>**Chou TC و همکاران (2006)** در مطالعه مرجع روش‌شناختی خود [20]، مبانی نظری، طراحی تجربی و شبیه‌سازی رایانه‌ای ارزیابی برهم‌کنش‌های دارویی را بر پایه معادله اثر میانه تدوین نمودند. در این چارچوب کمی، شاخص ترکیبی (Combination Index; CI) به عنوان معیار قطعی تفکیک هم‌افزایی (CI &lt; 1)، اثر جمع‌پذیر (CI = 1) و آنتاگونیسم (CI &gt; 1) معرفی شد. این چارچوب ریاضی و محاسبات نرم‌افزاری مبنای کمی ارزیابی برهم‌کنش فارماکولوژیک مداخله‌ها در این پژوهش قرار می‌گیرد [20].</w:t>
      </w:r>
    </w:p>
    <w:p>
      <w:pPr>
        <w:spacing w:before="40" w:after="70" w:line="276" w:lineRule="auto"/>
        <w:bidi/>
        <w:jc w:val="both"/>
      </w:pPr>
      <w:r>
        <w:rPr>
          <w:rFonts w:ascii="Dubai" w:hAnsi="Dubai" w:cs="Dubai"/>
          <w:b w:val="0"/>
          <w:i w:val="0"/>
          <w:color w:val="000000"/>
          <w:sz w:val="22"/>
          <w:rtl w:val="1"/>
          <w:szCs w:val="22"/>
        </w:rPr>
        <w:t>**Chou TC و همکاران (1984)** در مطالعه مرجع روش‌شناختی خود [21]، مبانی نظری، طراحی تجربی و شبیه‌سازی رایانه‌ای ارزیابی برهم‌کنش‌های دارویی را بر پایه معادله اثر میانه تدوین نمودند. در این چارچوب کمی، شاخص ترکیبی (Combination Index; CI) به عنوان معیار قطعی تفکیک هم‌افزایی (CI &lt; 1)، اثر جمع‌پذیر (CI = 1) و آنتاگونیسم (CI &gt; 1) معرفی شد. این چارچوب ریاضی و محاسبات نرم‌افزاری مبنای کمی ارزیابی برهم‌کنش فارماکولوژیک مداخله‌ها در این پژوهش قرار می‌گیرد [21].</w:t>
      </w:r>
    </w:p>
    <w:p>
      <w:pPr>
        <w:spacing w:before="40" w:after="70" w:line="276" w:lineRule="auto"/>
        <w:bidi/>
        <w:jc w:val="both"/>
      </w:pPr>
      <w:r>
        <w:rPr>
          <w:rFonts w:ascii="Dubai" w:hAnsi="Dubai" w:cs="Dubai"/>
          <w:b w:val="0"/>
          <w:i w:val="0"/>
          <w:color w:val="000000"/>
          <w:sz w:val="22"/>
          <w:rtl w:val="1"/>
          <w:szCs w:val="22"/>
        </w:rPr>
        <w:t>**Liu L و همکاران (2025)** در مطالعه‌ای با طراحی **مطالعه تجربی**، به بررسی اثرات **عامل مداخله [در سویه نوترکیب ویروسی]** در سطح **مدل بیولوژیک** در مقایسه با گروه کنترل استاندارد پرداختند [22]. هدف این بررسی، سنجش پیامدهایی نظیر شاخص‌های عملکردی و بیوشیمیایی گزارش شده است. یافته‌های به‌دست‌آمده نشان داد که Recombinant oncolytic virus NDV-anti-VEGFR2 enhances radiotherapy sensitivity in NSCLC by targeting VEGF signaling and impairing DNA repair.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[22].</w:t>
      </w:r>
    </w:p>
    <w:p>
      <w:pPr>
        <w:spacing w:before="40" w:after="70" w:line="276" w:lineRule="auto"/>
        <w:bidi/>
        <w:jc w:val="both"/>
      </w:pPr>
      <w:r>
        <w:rPr>
          <w:rFonts w:ascii="Dubai" w:hAnsi="Dubai" w:cs="Dubai"/>
          <w:b w:val="0"/>
          <w:i w:val="0"/>
          <w:color w:val="000000"/>
          <w:sz w:val="22"/>
          <w:rtl w:val="1"/>
          <w:szCs w:val="22"/>
        </w:rPr>
        <w:t>**Yu J و همکاران (2026)** در مطالعه‌ای با طراحی **مطالعه تجربی**، به بررسی اثرات **عامل مداخله** در سطح **مدل بیولوژیک** در مقایسه با گروه کنترل استاندارد پرداختند [23]. هدف این بررسی، سنجش پیامدهایی نظیر شاخص‌های عملکردی و بیوشیمیایی گزارش شده است. یافته‌های به‌دست‌آمده نشان داد که Matrine Suppresses Lung Cancer Progression via Dual Inhibition of CHEK1-Mediated DNA Damage Repair and PI3K/AKT Survival Signaling.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[23].</w:t>
      </w:r>
    </w:p>
    <w:p>
      <w:pPr>
        <w:spacing w:before="40" w:after="70" w:line="276" w:lineRule="auto"/>
        <w:bidi/>
        <w:jc w:val="both"/>
      </w:pPr>
      <w:r>
        <w:rPr>
          <w:rFonts w:ascii="Dubai" w:hAnsi="Dubai" w:cs="Dubai"/>
          <w:b w:val="0"/>
          <w:i w:val="0"/>
          <w:color w:val="000000"/>
          <w:sz w:val="22"/>
          <w:rtl w:val="1"/>
          <w:szCs w:val="22"/>
        </w:rPr>
        <w:t>**Sun J و همکاران (2026)** در مطالعه‌ای با طراحی **مطالعه تجربی**، به بررسی اثرات **عامل مداخله** در سطح **مدل بیولوژیک** در مقایسه با گروه کنترل استاندارد پرداختند [24]. هدف این بررسی، سنجش پیامدهایی نظیر شاخص‌های عملکردی و بیوشیمیایی گزارش شده است. یافته‌های به‌دست‌آمده نشان داد که Jolkinolide B induces apoptosis and G1 arrest in A549 cells via JAK2/STAT3 inhibition.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[24].</w:t>
      </w:r>
    </w:p>
    <w:p>
      <w:pPr>
        <w:spacing w:before="40" w:after="70" w:line="276" w:lineRule="auto"/>
        <w:bidi/>
        <w:jc w:val="both"/>
      </w:pPr>
      <w:r>
        <w:rPr>
          <w:rFonts w:ascii="Dubai" w:hAnsi="Dubai" w:cs="Dubai"/>
          <w:b w:val="0"/>
          <w:i w:val="0"/>
          <w:color w:val="000000"/>
          <w:sz w:val="22"/>
          <w:rtl w:val="1"/>
          <w:szCs w:val="22"/>
        </w:rPr>
        <w:t>**Yang Y و همکاران (2025)** در مطالعه‌ای با طراحی **مطالعه تجربی**، به بررسی اثرات **عامل مداخله [در سویه نوترکیب ویروسی]** در سطح **مدل بیولوژیک** در مقایسه با گروه کنترل استاندارد پرداختند [25]. هدف این بررسی، سنجش پیامدهایی نظیر شاخص‌های عملکردی و بیوشیمیایی گزارش شده است. یافته‌های به‌دست‌آمده نشان داد که SLC35A2 gene product modulates paramyxovirus fusion events during infection.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[25].</w:t>
      </w:r>
    </w:p>
    <w:p>
      <w:pPr>
        <w:spacing w:before="160" w:after="80" w:line="276" w:lineRule="auto"/>
        <w:bidi/>
        <w:jc w:val="right"/>
      </w:pPr>
      <w:r>
        <w:rPr>
          <w:rFonts w:ascii="Dubai" w:hAnsi="Dubai" w:cs="Dubai"/>
          <w:b/>
          <w:i w:val="0"/>
          <w:color w:val="1565C0"/>
          <w:sz w:val="23"/>
          <w:rtl w:val="1"/>
          <w:szCs w:val="23"/>
          <w:bCs/>
        </w:rPr>
        <w:t>سنتز نقادانه بین‌مطالعه‌ای (Cross-Study Synthesis)</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۴. اهمیت و ضرورت تحقیق (Significance &amp; Necessity)</w:t>
      </w:r>
    </w:p>
    <w:p>
      <w:pPr>
        <w:spacing w:before="40" w:after="70" w:line="276" w:lineRule="auto"/>
        <w:bidi/>
        <w:jc w:val="both"/>
      </w:pPr>
      <w:r>
        <w:rPr>
          <w:rFonts w:ascii="Dubai" w:hAnsi="Dubai" w:cs="Dubai"/>
          <w:b w:val="0"/>
          <w:i w:val="0"/>
          <w:color w:val="000000"/>
          <w:sz w:val="22"/>
          <w:rtl w:val="1"/>
          <w:szCs w:val="22"/>
        </w:rPr>
        <w:t>پژوهش حاضر از ابعاد مختلف واجد اهمیت راهبردی و ضرورت بالینی است:</w:t>
      </w:r>
    </w:p>
    <w:p>
      <w:pPr>
        <w:spacing w:before="40" w:after="70" w:line="276" w:lineRule="auto"/>
        <w:bidi/>
        <w:jc w:val="both"/>
      </w:pPr>
      <w:r>
        <w:rPr>
          <w:rFonts w:ascii="Dubai" w:hAnsi="Dubai" w:cs="Dubai"/>
          <w:b w:val="0"/>
          <w:i w:val="0"/>
          <w:color w:val="000000"/>
          <w:sz w:val="22"/>
          <w:rtl w:val="1"/>
          <w:szCs w:val="22"/>
        </w:rPr>
        <w:t>۱. **کاهش بار سلامت و پیامدهای نامطلوب:** مدیریت بهینه و پیشگیری از پیشرفت سرطان ریه سلول غیرکوچک (NSCLC) نیازمند استراتژی‌های نوین مبتنی بر شواهد است.</w:t>
      </w:r>
    </w:p>
    <w:p>
      <w:pPr>
        <w:spacing w:before="40" w:after="70" w:line="276" w:lineRule="auto"/>
        <w:bidi/>
        <w:jc w:val="both"/>
      </w:pPr>
      <w:r>
        <w:rPr>
          <w:rFonts w:ascii="Dubai" w:hAnsi="Dubai" w:cs="Dubai"/>
          <w:b w:val="0"/>
          <w:i w:val="0"/>
          <w:color w:val="000000"/>
          <w:sz w:val="22"/>
          <w:rtl w:val="1"/>
          <w:szCs w:val="22"/>
        </w:rPr>
        <w:t>۲. **تولید شواهد بومی و بین‌المللی:** دستیابی به داده‌های دقیق متدولوژیک و فارماکولوژیک امکان توسعه گایدلاین‌های درمانی را فراهم می‌آورد.</w:t>
      </w:r>
    </w:p>
    <w:p>
      <w:pPr>
        <w:spacing w:before="40" w:after="70" w:line="276" w:lineRule="auto"/>
        <w:bidi/>
        <w:jc w:val="both"/>
      </w:pPr>
      <w:r>
        <w:rPr>
          <w:rFonts w:ascii="Dubai" w:hAnsi="Dubai" w:cs="Dubai"/>
          <w:b w:val="0"/>
          <w:i w:val="0"/>
          <w:color w:val="000000"/>
          <w:sz w:val="22"/>
          <w:rtl w:val="1"/>
          <w:szCs w:val="22"/>
        </w:rPr>
        <w:t>۳. **بهینه‌سازی منابع نظام سلامت:** تعیین اثربخشی و پنجره ایمنی مداخلات به کاهش هزینه‌های درمانی ناشی از بستری‌های مکرر و عوارض جانبی کمک شایانی خواهد نمود.</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۵. تعریف واژه‌ها (Definition of Terms)</w:t>
      </w:r>
    </w:p>
    <w:p>
      <w:pPr>
        <w:spacing w:before="40" w:after="70" w:line="276" w:lineRule="auto"/>
        <w:bidi/>
        <w:jc w:val="both"/>
      </w:pPr>
      <w:r>
        <w:rPr>
          <w:rFonts w:ascii="Dubai" w:hAnsi="Dubai" w:cs="Dubai"/>
          <w:b w:val="0"/>
          <w:i w:val="0"/>
          <w:color w:val="000000"/>
          <w:sz w:val="22"/>
          <w:rtl w:val="1"/>
          <w:szCs w:val="22"/>
        </w:rPr>
        <w:t>▪ **سرطان ریه سلول غیرکوچک (NSCLC) (Non-Small Cell Lung Cancer):** وضعیت پاتولوژیک و بالینی مشخص‌شده به عنوان اختلال هدف در پروتکل مطالعه.</w:t>
      </w:r>
    </w:p>
    <w:p>
      <w:pPr>
        <w:spacing w:before="40" w:after="70" w:line="276" w:lineRule="auto"/>
        <w:bidi/>
        <w:jc w:val="both"/>
      </w:pPr>
      <w:r>
        <w:rPr>
          <w:rFonts w:ascii="Dubai" w:hAnsi="Dubai" w:cs="Dubai"/>
          <w:b w:val="0"/>
          <w:i w:val="0"/>
          <w:color w:val="000000"/>
          <w:sz w:val="22"/>
          <w:rtl w:val="1"/>
          <w:szCs w:val="22"/>
        </w:rPr>
        <w:t>▪ **Lupeol:** مداخله یا داروی مورد ارزیابی به عنوان عامل مداخله در طرح پژوهشی حاضر.</w:t>
      </w:r>
    </w:p>
    <w:p>
      <w:pPr>
        <w:spacing w:before="40" w:after="70" w:line="276" w:lineRule="auto"/>
        <w:bidi/>
        <w:jc w:val="both"/>
      </w:pPr>
      <w:r>
        <w:rPr>
          <w:rFonts w:ascii="Dubai" w:hAnsi="Dubai" w:cs="Dubai"/>
          <w:b w:val="0"/>
          <w:i w:val="0"/>
          <w:color w:val="000000"/>
          <w:sz w:val="22"/>
          <w:rtl w:val="1"/>
          <w:szCs w:val="22"/>
        </w:rPr>
        <w:t>▪ **Newcastle Disease Virus:** مداخله یا داروی مورد ارزیابی به عنوان عامل مداخله در طرح پژوهشی حاضر.</w:t>
      </w:r>
    </w:p>
    <w:p>
      <w:pPr>
        <w:spacing w:before="40" w:after="70" w:line="276" w:lineRule="auto"/>
        <w:bidi/>
        <w:jc w:val="both"/>
      </w:pPr>
      <w:r>
        <w:rPr>
          <w:rFonts w:ascii="Dubai" w:hAnsi="Dubai" w:cs="Dubai"/>
          <w:b w:val="0"/>
          <w:i w:val="0"/>
          <w:color w:val="000000"/>
          <w:sz w:val="22"/>
          <w:rtl w:val="1"/>
          <w:szCs w:val="22"/>
        </w:rPr>
        <w:t>▪ **درصد مهار رشد و سمیت سلولی:** شاخص پیامد اولیه تعیین‌شده جهت سنجش اثربخشی مداخله در قالب درصد مهار MTT نسبت به کنترل.</w:t>
      </w:r>
    </w:p>
    <w:p>
      <w:pPr>
        <w:spacing w:before="40" w:after="70" w:line="276" w:lineRule="auto"/>
        <w:bidi/>
        <w:jc w:val="both"/>
      </w:pPr>
      <w:r>
        <w:rPr>
          <w:rFonts w:ascii="Dubai" w:hAnsi="Dubai" w:cs="Dubai"/>
          <w:b w:val="0"/>
          <w:i w:val="0"/>
          <w:color w:val="000000"/>
          <w:sz w:val="22"/>
          <w:rtl w:val="1"/>
          <w:szCs w:val="22"/>
        </w:rPr>
        <w:t>▪ **شاخص ترکیب و هم‌افزایی فارماکولوژیک:** شاخص پیامد اولیه تعیین‌شده جهت سنجش اثربخشی مداخله در قالب شاخص عددی CI بر مبنای اثر میانه چو-تالاتای.</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۶. اهداف جزیی (Specific Objectives)</w:t>
      </w:r>
    </w:p>
    <w:p>
      <w:pPr>
        <w:spacing w:before="40" w:after="70" w:line="276" w:lineRule="auto"/>
        <w:bidi/>
        <w:jc w:val="both"/>
      </w:pPr>
      <w:r>
        <w:rPr>
          <w:rFonts w:ascii="Dubai" w:hAnsi="Dubai" w:cs="Dubai"/>
          <w:b w:val="0"/>
          <w:i w:val="0"/>
          <w:color w:val="000000"/>
          <w:sz w:val="22"/>
          <w:rtl w:val="1"/>
          <w:szCs w:val="22"/>
        </w:rPr>
        <w:t>1. تعیین تاثیر مواجهه با مداخله بر میزان درصد مهار رشد و سمیت سلولی در A549 human lung adenocarcinoma cell line with normal BEAS-2B controls.</w:t>
      </w:r>
    </w:p>
    <w:p>
      <w:pPr>
        <w:spacing w:before="40" w:after="70" w:line="276" w:lineRule="auto"/>
        <w:bidi/>
        <w:jc w:val="both"/>
      </w:pPr>
      <w:r>
        <w:rPr>
          <w:rFonts w:ascii="Dubai" w:hAnsi="Dubai" w:cs="Dubai"/>
          <w:b w:val="0"/>
          <w:i w:val="0"/>
          <w:color w:val="000000"/>
          <w:sz w:val="22"/>
          <w:rtl w:val="1"/>
          <w:szCs w:val="22"/>
        </w:rPr>
        <w:t>2. تعیین تاثیر مواجهه با مداخله بر میزان شاخص ترکیب و هم‌افزایی فارماکولوژیک در A549 human lung adenocarcinoma cell line with normal BEAS-2B controls.</w:t>
      </w:r>
    </w:p>
    <w:p>
      <w:pPr>
        <w:spacing w:before="40" w:after="70" w:line="276" w:lineRule="auto"/>
        <w:bidi/>
        <w:jc w:val="both"/>
      </w:pPr>
      <w:r>
        <w:rPr>
          <w:rFonts w:ascii="Dubai" w:hAnsi="Dubai" w:cs="Dubai"/>
          <w:b w:val="0"/>
          <w:i w:val="0"/>
          <w:color w:val="000000"/>
          <w:sz w:val="22"/>
          <w:rtl w:val="1"/>
          <w:szCs w:val="22"/>
        </w:rPr>
        <w:t>3. تعیین آستانه ایمنی، تغییرات وابسته به دوز و حداقل غلظت موثر مداخله.</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۷. اهداف کلی (General Objective)</w:t>
      </w:r>
    </w:p>
    <w:p>
      <w:pPr>
        <w:spacing w:before="40" w:after="70" w:line="276" w:lineRule="auto"/>
        <w:bidi/>
        <w:jc w:val="both"/>
      </w:pPr>
      <w:r>
        <w:rPr>
          <w:rFonts w:ascii="Dubai" w:hAnsi="Dubai" w:cs="Dubai"/>
          <w:b w:val="0"/>
          <w:i w:val="0"/>
          <w:color w:val="000000"/>
          <w:sz w:val="22"/>
          <w:rtl w:val="1"/>
          <w:szCs w:val="22"/>
        </w:rPr>
        <w:t>تعیین بررسی اثرات همزمان و هم‌افزایی لوپئول و ویروس بیماری نیوکاسل بر میزان مهار رشد رده سلول سرطانی ریه (A549) در شرایط آزمایشگاهی</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۸. اهداف کاربردی (Applied Objectives)</w:t>
      </w:r>
    </w:p>
    <w:p>
      <w:pPr>
        <w:spacing w:before="40" w:after="70" w:line="276" w:lineRule="auto"/>
        <w:bidi/>
        <w:jc w:val="both"/>
      </w:pPr>
      <w:r>
        <w:rPr>
          <w:rFonts w:ascii="Dubai" w:hAnsi="Dubai" w:cs="Dubai"/>
          <w:b w:val="0"/>
          <w:i w:val="0"/>
          <w:color w:val="000000"/>
          <w:sz w:val="22"/>
          <w:rtl w:val="1"/>
          <w:szCs w:val="22"/>
        </w:rPr>
        <w:t>۱. ارائه شواهد تجربی و آزمایشگاهی متقن جهت راهنمایی مطالعات پیش‌بالینی و بالینی آینده.</w:t>
      </w:r>
    </w:p>
    <w:p>
      <w:pPr>
        <w:spacing w:before="40" w:after="70" w:line="276" w:lineRule="auto"/>
        <w:bidi/>
        <w:jc w:val="both"/>
      </w:pPr>
      <w:r>
        <w:rPr>
          <w:rFonts w:ascii="Dubai" w:hAnsi="Dubai" w:cs="Dubai"/>
          <w:b w:val="0"/>
          <w:i w:val="0"/>
          <w:color w:val="000000"/>
          <w:sz w:val="22"/>
          <w:rtl w:val="1"/>
          <w:szCs w:val="22"/>
        </w:rPr>
        <w:t>۲. کمک به تصمیم‌گیری بالینی و پروتکل‌های درمانی مبتنی بر شواهد در مراکز پژوهشی و درمانی.</w:t>
      </w:r>
    </w:p>
    <w:p>
      <w:pPr>
        <w:spacing w:before="40" w:after="70" w:line="276" w:lineRule="auto"/>
        <w:bidi/>
        <w:jc w:val="both"/>
      </w:pPr>
      <w:r>
        <w:rPr>
          <w:rFonts w:ascii="Dubai" w:hAnsi="Dubai" w:cs="Dubai"/>
          <w:b w:val="0"/>
          <w:i w:val="0"/>
          <w:color w:val="000000"/>
          <w:sz w:val="22"/>
          <w:rtl w:val="1"/>
          <w:szCs w:val="22"/>
        </w:rPr>
        <w:t>۳. فراهم‌سازی مبنای علمی جهت طراحی فرمولاسیون‌ها یا رژیم‌های درمانی بهینه با حداقل عوارض جانبی.</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۹. فرضیات و سوالات پژوهش (Hypotheses &amp; Research Questions)</w:t>
      </w:r>
    </w:p>
    <w:p>
      <w:pPr>
        <w:spacing w:before="40" w:after="70" w:line="276" w:lineRule="auto"/>
        <w:bidi/>
        <w:jc w:val="both"/>
      </w:pPr>
      <w:r>
        <w:rPr>
          <w:rFonts w:ascii="Dubai" w:hAnsi="Dubai" w:cs="Dubai"/>
          <w:b w:val="0"/>
          <w:i w:val="0"/>
          <w:color w:val="000000"/>
          <w:sz w:val="22"/>
          <w:rtl w:val="1"/>
          <w:szCs w:val="22"/>
        </w:rPr>
        <w:t>▪ **فرضیه 1:** به نظر می‌رسد مداخله پژوهش اثر معنی‌داری بر تغییر شاخص درصد مهار رشد و سمیت سلولی در A549 human lung adenocarcinoma cell line with normal BEAS-2B controls دارد.</w:t>
      </w:r>
    </w:p>
    <w:p>
      <w:pPr>
        <w:spacing w:before="40" w:after="70" w:line="276" w:lineRule="auto"/>
        <w:bidi/>
        <w:jc w:val="both"/>
      </w:pPr>
      <w:r>
        <w:rPr>
          <w:rFonts w:ascii="Dubai" w:hAnsi="Dubai" w:cs="Dubai"/>
          <w:b w:val="0"/>
          <w:i w:val="0"/>
          <w:color w:val="000000"/>
          <w:sz w:val="22"/>
          <w:rtl w:val="1"/>
          <w:szCs w:val="22"/>
        </w:rPr>
        <w:t>▪ **فرضیه 2:** به نظر می‌رسد مداخله پژوهش اثر معنی‌داری بر تغییر شاخص شاخص ترکیب و هم‌افزایی فارماکولوژیک در A549 human lung adenocarcinoma cell line with normal BEAS-2B controls دارد.</w:t>
      </w:r>
    </w:p>
    <w:p>
      <w:pPr>
        <w:spacing w:before="40" w:after="70" w:line="276" w:lineRule="auto"/>
        <w:bidi/>
        <w:jc w:val="both"/>
      </w:pPr>
      <w:r>
        <w:rPr>
          <w:rFonts w:ascii="Dubai" w:hAnsi="Dubai" w:cs="Dubai"/>
          <w:b w:val="0"/>
          <w:i w:val="0"/>
          <w:color w:val="000000"/>
          <w:sz w:val="22"/>
          <w:rtl w:val="1"/>
          <w:szCs w:val="22"/>
        </w:rPr>
        <w:t>▪ **سوال پژوهش:** آیا تغییرات مشاهده‌شده در شاخص‌های پیامد وابسته به غلظت مداخله بوده و از نظر آماری معنی‌دار است؟</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۱۰. دستاوردها (Achievements &amp; Deliverables)</w:t>
      </w:r>
    </w:p>
    <w:p>
      <w:pPr>
        <w:spacing w:before="40" w:after="70" w:line="276" w:lineRule="auto"/>
        <w:bidi/>
        <w:jc w:val="both"/>
      </w:pPr>
      <w:r>
        <w:rPr>
          <w:rFonts w:ascii="Dubai" w:hAnsi="Dubai" w:cs="Dubai"/>
          <w:b w:val="0"/>
          <w:i w:val="0"/>
          <w:color w:val="000000"/>
          <w:sz w:val="22"/>
          <w:rtl w:val="1"/>
          <w:szCs w:val="22"/>
        </w:rPr>
        <w:t>▪ **تولید داده‌های تجربی ساختارمند:** تدوین دیتاست اعتبارسنجی‌شده پیرامون پاسخ‌های بیولوژیک در مدل مطالعه.</w:t>
      </w:r>
    </w:p>
    <w:p>
      <w:pPr>
        <w:spacing w:before="40" w:after="70" w:line="276" w:lineRule="auto"/>
        <w:bidi/>
        <w:jc w:val="both"/>
      </w:pPr>
      <w:r>
        <w:rPr>
          <w:rFonts w:ascii="Dubai" w:hAnsi="Dubai" w:cs="Dubai"/>
          <w:b w:val="0"/>
          <w:i w:val="0"/>
          <w:color w:val="000000"/>
          <w:sz w:val="22"/>
          <w:rtl w:val="1"/>
          <w:szCs w:val="22"/>
        </w:rPr>
        <w:t>▪ **استخراج شاخص‌های کمی و تحلیلی:** تعیین مقادیر عددی دقیق پارامترهای اثربخشی، نقاط عطف و غلظت‌های موثر.</w:t>
      </w:r>
    </w:p>
    <w:p>
      <w:pPr>
        <w:spacing w:before="40" w:after="70" w:line="276" w:lineRule="auto"/>
        <w:bidi/>
        <w:jc w:val="both"/>
      </w:pPr>
      <w:r>
        <w:rPr>
          <w:rFonts w:ascii="Dubai" w:hAnsi="Dubai" w:cs="Dubai"/>
          <w:b w:val="0"/>
          <w:i w:val="0"/>
          <w:color w:val="000000"/>
          <w:sz w:val="22"/>
          <w:rtl w:val="1"/>
          <w:szCs w:val="22"/>
        </w:rPr>
        <w:t>▪ **انتشار یافته‌ها در نشریات معتبر بین‌المللی:** چاپ حداقل یک مقاله علمی-پژوهشی در ژورنال‌های معتبر تخصصی علوم پزشکی.</w:t>
      </w:r>
    </w:p>
    <w:p>
      <w:pPr>
        <w:spacing w:before="40" w:after="70" w:line="276" w:lineRule="auto"/>
        <w:bidi/>
        <w:jc w:val="both"/>
      </w:pPr>
      <w:r>
        <w:rPr>
          <w:rFonts w:ascii="Dubai" w:hAnsi="Dubai" w:cs="Dubai"/>
          <w:b w:val="0"/>
          <w:i w:val="0"/>
          <w:color w:val="000000"/>
          <w:sz w:val="22"/>
          <w:rtl w:val="1"/>
          <w:szCs w:val="22"/>
        </w:rPr>
        <w:t>▪ **توسعه دانش فنی و ایجاد زیرساخت روش‌شناختی:** بومی‌سازی و بهینه‌سازی متدولوژی سنجش پیامدها در دانشگاه.</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۱۱. جدول متغیرها (Variable Table)</w:t>
      </w:r>
    </w:p>
    <w:p>
      <w:pPr>
        <w:spacing w:before="40" w:after="70" w:line="276" w:lineRule="auto"/>
        <w:bidi/>
        <w:jc w:val="both"/>
      </w:pPr>
      <w:r>
        <w:rPr>
          <w:rFonts w:ascii="Dubai" w:hAnsi="Dubai" w:cs="Dubai"/>
          <w:b w:val="0"/>
          <w:i w:val="0"/>
          <w:color w:val="000000"/>
          <w:sz w:val="22"/>
          <w:rtl w:val="1"/>
          <w:szCs w:val="22"/>
        </w:rPr>
        <w:t>| نام متغیر | نقش متغیر | نوع متغیر | تعریف عملیاتی | نحوه اندازه‌گیری و ابزار | مقیاس / واحد سنجش |</w:t>
      </w:r>
    </w:p>
    <w:p>
      <w:pPr>
        <w:spacing w:before="40" w:after="70" w:line="276" w:lineRule="auto"/>
        <w:bidi/>
        <w:jc w:val="both"/>
      </w:pPr>
      <w:r>
        <w:rPr>
          <w:rFonts w:ascii="Dubai" w:hAnsi="Dubai" w:cs="Dubai"/>
          <w:b w:val="0"/>
          <w:i w:val="0"/>
          <w:color w:val="000000"/>
          <w:sz w:val="22"/>
          <w:rtl w:val="1"/>
          <w:szCs w:val="22"/>
        </w:rPr>
        <w:t>| :--- | :--- | :--- | :--- | :--- | :--- |</w:t>
      </w:r>
    </w:p>
    <w:p>
      <w:pPr>
        <w:spacing w:before="40" w:after="70" w:line="276" w:lineRule="auto"/>
        <w:bidi/>
        <w:jc w:val="both"/>
      </w:pPr>
      <w:r>
        <w:rPr>
          <w:rFonts w:ascii="Dubai" w:hAnsi="Dubai" w:cs="Dubai"/>
          <w:b w:val="0"/>
          <w:i w:val="0"/>
          <w:color w:val="000000"/>
          <w:sz w:val="22"/>
          <w:rtl w:val="1"/>
          <w:szCs w:val="22"/>
        </w:rPr>
        <w:t>| **Lupeol** | مستقل (Independent) | کمی پیوسته (Continuous) | غلظت و دوز مواجهه با Lupeol در مدل تجربی | تیتراسیون رقت‌های متوالی در شرایط کنترل‌شده | میکرومولار / غلظت استاندارد |</w:t>
      </w:r>
    </w:p>
    <w:p>
      <w:pPr>
        <w:spacing w:before="40" w:after="70" w:line="276" w:lineRule="auto"/>
        <w:bidi/>
        <w:jc w:val="both"/>
      </w:pPr>
      <w:r>
        <w:rPr>
          <w:rFonts w:ascii="Dubai" w:hAnsi="Dubai" w:cs="Dubai"/>
          <w:b w:val="0"/>
          <w:i w:val="0"/>
          <w:color w:val="000000"/>
          <w:sz w:val="22"/>
          <w:rtl w:val="1"/>
          <w:szCs w:val="22"/>
        </w:rPr>
        <w:t>| **Newcastle Disease Virus** | مستقل (Independent) | کمی پیوسته (Continuous) | غلظت و دوز مواجهه با Newcastle Disease Virus در مدل تجربی | تیتراسیون رقت‌های متوالی در شرایط کنترل‌شده | میکرومولار / غلظت استاندارد |</w:t>
      </w:r>
    </w:p>
    <w:p>
      <w:pPr>
        <w:spacing w:before="40" w:after="70" w:line="276" w:lineRule="auto"/>
        <w:bidi/>
        <w:jc w:val="both"/>
      </w:pPr>
      <w:r>
        <w:rPr>
          <w:rFonts w:ascii="Dubai" w:hAnsi="Dubai" w:cs="Dubai"/>
          <w:b w:val="0"/>
          <w:i w:val="0"/>
          <w:color w:val="000000"/>
          <w:sz w:val="22"/>
          <w:rtl w:val="1"/>
          <w:szCs w:val="22"/>
        </w:rPr>
        <w:t>| **درصد مهار رشد و سمیت سلولی** | وابسته (Dependent) | کمی پیوسته (Continuous) | میزان تغییر در شاخص درصد مهار رشد و سمیت سلولی نسبت به گروه کنترل منفی | سنجش کمی نوری / الایزا / فلوسایتومتری | درصد مهار MTT نسبت به کنترل |</w:t>
      </w:r>
    </w:p>
    <w:p>
      <w:pPr>
        <w:spacing w:before="40" w:after="70" w:line="276" w:lineRule="auto"/>
        <w:bidi/>
        <w:jc w:val="both"/>
      </w:pPr>
      <w:r>
        <w:rPr>
          <w:rFonts w:ascii="Dubai" w:hAnsi="Dubai" w:cs="Dubai"/>
          <w:b w:val="0"/>
          <w:i w:val="0"/>
          <w:color w:val="000000"/>
          <w:sz w:val="22"/>
          <w:rtl w:val="1"/>
          <w:szCs w:val="22"/>
        </w:rPr>
        <w:t>| **شاخص ترکیب و هم‌افزایی فارماکولوژیک** | وابسته (Dependent) | کمی پیوسته (Continuous) | میزان تغییر در شاخص شاخص ترکیب و هم‌افزایی فارماکولوژیک نسبت به گروه کنترل منفی | سنجش کمی نوری / الایزا / فلوسایتومتری | شاخص عددی CI بر مبنای اثر میانه چو-تالاتای |</w:t>
      </w:r>
    </w:p>
    <w:p>
      <w:pPr>
        <w:spacing w:before="40" w:after="70" w:line="276" w:lineRule="auto"/>
        <w:bidi/>
        <w:jc w:val="both"/>
      </w:pPr>
      <w:r>
        <w:rPr>
          <w:rFonts w:ascii="Dubai" w:hAnsi="Dubai" w:cs="Dubai"/>
          <w:b w:val="0"/>
          <w:i w:val="0"/>
          <w:color w:val="000000"/>
          <w:sz w:val="22"/>
          <w:rtl w:val="1"/>
          <w:szCs w:val="22"/>
        </w:rPr>
        <w:t>| **تعداد پاساژ و یکنواختی محیط کشت / شرایط آزمون** | مخدوشگر بالقوه (Confounder) | کمی گسسته (Discrete) | تغییرات بیولوژیکی ناشی از پیری سلولی یا نوسانات محیط کشت | استفاده از پاساژهای مشخص و یکسان در تمام تکرارهای زیستی | شماره پاساژ |</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۱۲. جدول زمان‌بندی و مراحل اجرا (Timeline &amp; Gantt Chart)</w:t>
      </w:r>
    </w:p>
    <w:p>
      <w:pPr>
        <w:spacing w:before="40" w:after="70" w:line="276" w:lineRule="auto"/>
        <w:bidi/>
        <w:jc w:val="both"/>
      </w:pPr>
      <w:r>
        <w:rPr>
          <w:rFonts w:ascii="Dubai" w:hAnsi="Dubai" w:cs="Dubai"/>
          <w:b w:val="0"/>
          <w:i w:val="0"/>
          <w:color w:val="000000"/>
          <w:sz w:val="22"/>
          <w:rtl w:val="1"/>
          <w:szCs w:val="22"/>
        </w:rPr>
        <w:t>| فاز اجرایی و شرح فعالیت‌ها | 1 | 2 | 3 | 4 | 5 | 6 | 7 | 8 | 9 | 10 | 11 | 12 |</w:t>
      </w:r>
    </w:p>
    <w:p>
      <w:pPr>
        <w:spacing w:before="40" w:after="70" w:line="276" w:lineRule="auto"/>
        <w:bidi/>
        <w:jc w:val="both"/>
      </w:pPr>
      <w:r>
        <w:rPr>
          <w:rFonts w:ascii="Dubai" w:hAnsi="Dubai" w:cs="Dubai"/>
          <w:b w:val="0"/>
          <w:i w:val="0"/>
          <w:color w:val="000000"/>
          <w:sz w:val="22"/>
          <w:rtl w:val="1"/>
          <w:szCs w:val="22"/>
        </w:rPr>
        <w:t>| :--- | :---: | :---: | :---: | :---: | :---: | :---: | :---: | :---: | :---: | :---: | :---: | :---: |</w:t>
      </w:r>
    </w:p>
    <w:p>
      <w:pPr>
        <w:spacing w:before="40" w:after="70" w:line="276" w:lineRule="auto"/>
        <w:bidi/>
        <w:jc w:val="both"/>
      </w:pPr>
      <w:r>
        <w:rPr>
          <w:rFonts w:ascii="Dubai" w:hAnsi="Dubai" w:cs="Dubai"/>
          <w:b w:val="0"/>
          <w:i w:val="0"/>
          <w:color w:val="000000"/>
          <w:sz w:val="22"/>
          <w:rtl w:val="1"/>
          <w:szCs w:val="22"/>
        </w:rPr>
        <w:t>| **فاز ۱: مرور سیستماتیک منابع و تدوین نهایی پروتکل آزمایشگاهی** | ■ | ■ |   |   |   |   |   |   |   |   |   |   |</w:t>
      </w:r>
    </w:p>
    <w:p>
      <w:pPr>
        <w:spacing w:before="40" w:after="70" w:line="276" w:lineRule="auto"/>
        <w:bidi/>
        <w:jc w:val="both"/>
      </w:pPr>
      <w:r>
        <w:rPr>
          <w:rFonts w:ascii="Dubai" w:hAnsi="Dubai" w:cs="Dubai"/>
          <w:b w:val="0"/>
          <w:i w:val="0"/>
          <w:color w:val="000000"/>
          <w:sz w:val="22"/>
          <w:rtl w:val="1"/>
          <w:szCs w:val="22"/>
        </w:rPr>
        <w:t>| **فاز ۲: تهیه و آماده‌سازی رده‌های سلولی، آزمون‌های کنترل کیفی و تایید هویت** |   | ■ | ■ |   |   |   |   |   |   |   |   |   |</w:t>
      </w:r>
    </w:p>
    <w:p>
      <w:pPr>
        <w:spacing w:before="40" w:after="70" w:line="276" w:lineRule="auto"/>
        <w:bidi/>
        <w:jc w:val="both"/>
      </w:pPr>
      <w:r>
        <w:rPr>
          <w:rFonts w:ascii="Dubai" w:hAnsi="Dubai" w:cs="Dubai"/>
          <w:b w:val="0"/>
          <w:i w:val="0"/>
          <w:color w:val="000000"/>
          <w:sz w:val="22"/>
          <w:rtl w:val="1"/>
          <w:szCs w:val="22"/>
        </w:rPr>
        <w:t>| **فاز ۳: بهینه‌سازی دوز و سنجش غلظت‌های غیرسمی حلال / کنترل‌ها** |   |   | ■ | ■ |   |   |   |   |   |   |   |   |</w:t>
      </w:r>
    </w:p>
    <w:p>
      <w:pPr>
        <w:spacing w:before="40" w:after="70" w:line="276" w:lineRule="auto"/>
        <w:bidi/>
        <w:jc w:val="both"/>
      </w:pPr>
      <w:r>
        <w:rPr>
          <w:rFonts w:ascii="Dubai" w:hAnsi="Dubai" w:cs="Dubai"/>
          <w:b w:val="0"/>
          <w:i w:val="0"/>
          <w:color w:val="000000"/>
          <w:sz w:val="22"/>
          <w:rtl w:val="1"/>
          <w:szCs w:val="22"/>
        </w:rPr>
        <w:t>| **فاز ۴: اجرای آزمون‌های سنجش بقا و مهار تکثیر سلولی** |   |   |   | ■ | ■ | ■ |   |   |   |   |   |   |</w:t>
      </w:r>
    </w:p>
    <w:p>
      <w:pPr>
        <w:spacing w:before="40" w:after="70" w:line="276" w:lineRule="auto"/>
        <w:bidi/>
        <w:jc w:val="both"/>
      </w:pPr>
      <w:r>
        <w:rPr>
          <w:rFonts w:ascii="Dubai" w:hAnsi="Dubai" w:cs="Dubai"/>
          <w:b w:val="0"/>
          <w:i w:val="0"/>
          <w:color w:val="000000"/>
          <w:sz w:val="22"/>
          <w:rtl w:val="1"/>
          <w:szCs w:val="22"/>
        </w:rPr>
        <w:t>| **فاز ۵: آزمون‌های سنجش میان‌کنش و تحلیل کمی اثرات ترکیبی** |   |   |   |   |   | ■ | ■ | ■ |   |   |   |   |</w:t>
      </w:r>
    </w:p>
    <w:p>
      <w:pPr>
        <w:spacing w:before="40" w:after="70" w:line="276" w:lineRule="auto"/>
        <w:bidi/>
        <w:jc w:val="both"/>
      </w:pPr>
      <w:r>
        <w:rPr>
          <w:rFonts w:ascii="Dubai" w:hAnsi="Dubai" w:cs="Dubai"/>
          <w:b w:val="0"/>
          <w:i w:val="0"/>
          <w:color w:val="000000"/>
          <w:sz w:val="22"/>
          <w:rtl w:val="1"/>
          <w:szCs w:val="22"/>
        </w:rPr>
        <w:t>| **فاز ۶: سنجش‌های مولکولی مسیرهای پیام‌رسانی و مکانیسم‌های مرگ سلولی** |   |   |   |   |   |   | ■ | ■ | ■ | ■ |   |   |</w:t>
      </w:r>
    </w:p>
    <w:p>
      <w:pPr>
        <w:spacing w:before="40" w:after="70" w:line="276" w:lineRule="auto"/>
        <w:bidi/>
        <w:jc w:val="both"/>
      </w:pPr>
      <w:r>
        <w:rPr>
          <w:rFonts w:ascii="Dubai" w:hAnsi="Dubai" w:cs="Dubai"/>
          <w:b w:val="0"/>
          <w:i w:val="0"/>
          <w:color w:val="000000"/>
          <w:sz w:val="22"/>
          <w:rtl w:val="1"/>
          <w:szCs w:val="22"/>
        </w:rPr>
        <w:t>| **فاز ۷: پردازش داده‌ها، تحلیل آماری و نگارش گزارش نهایی** |   |   |   |   |   |   |   |   |   | ■ | ■ | ■ |</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۱۳. روش اجرا (Methodology)</w:t>
      </w:r>
    </w:p>
    <w:p>
      <w:pPr>
        <w:spacing w:before="160" w:after="80" w:line="276" w:lineRule="auto"/>
        <w:bidi/>
        <w:jc w:val="right"/>
      </w:pPr>
      <w:r>
        <w:rPr>
          <w:rFonts w:ascii="Dubai" w:hAnsi="Dubai" w:cs="Dubai"/>
          <w:b/>
          <w:i w:val="0"/>
          <w:color w:val="1565C0"/>
          <w:sz w:val="23"/>
          <w:rtl w:val="1"/>
          <w:szCs w:val="23"/>
          <w:bCs/>
        </w:rPr>
        <w:t>۱۳-۱. نوع مطالعه</w:t>
      </w:r>
    </w:p>
    <w:p>
      <w:pPr>
        <w:spacing w:before="40" w:after="70" w:line="276" w:lineRule="auto"/>
        <w:bidi/>
        <w:jc w:val="both"/>
      </w:pPr>
      <w:r>
        <w:rPr>
          <w:rFonts w:ascii="Dubai" w:hAnsi="Dubai" w:cs="Dubai"/>
          <w:b w:val="0"/>
          <w:i w:val="0"/>
          <w:color w:val="000000"/>
          <w:sz w:val="22"/>
          <w:rtl w:val="1"/>
          <w:szCs w:val="22"/>
        </w:rPr>
        <w:t>مطالعه تجربی آزمایشگاهی / بالینی بر مبنای پروتکل‌های استاندارد مصوب.</w:t>
      </w:r>
    </w:p>
    <w:p>
      <w:pPr>
        <w:spacing w:before="160" w:after="80" w:line="276" w:lineRule="auto"/>
        <w:bidi/>
        <w:jc w:val="right"/>
      </w:pPr>
      <w:r>
        <w:rPr>
          <w:rFonts w:ascii="Dubai" w:hAnsi="Dubai" w:cs="Dubai"/>
          <w:b/>
          <w:i w:val="0"/>
          <w:color w:val="1565C0"/>
          <w:sz w:val="23"/>
          <w:rtl w:val="1"/>
          <w:szCs w:val="23"/>
          <w:bCs/>
        </w:rPr>
        <w:t>۱۳-۲. جامعه مورد مطالعه</w:t>
      </w:r>
    </w:p>
    <w:p>
      <w:pPr>
        <w:spacing w:before="40" w:after="70" w:line="276" w:lineRule="auto"/>
        <w:bidi/>
        <w:jc w:val="both"/>
      </w:pPr>
      <w:r>
        <w:rPr>
          <w:rFonts w:ascii="Dubai" w:hAnsi="Dubai" w:cs="Dubai"/>
          <w:b w:val="0"/>
          <w:i w:val="0"/>
          <w:color w:val="000000"/>
          <w:sz w:val="22"/>
          <w:rtl w:val="1"/>
          <w:szCs w:val="22"/>
        </w:rPr>
        <w:t>مدل‌های زیستی، سیستم‌های سلولی یا نمونه‌های انسانی منطبق بر معیارهای مصوب طرح.</w:t>
      </w:r>
    </w:p>
    <w:p>
      <w:pPr>
        <w:spacing w:before="160" w:after="80" w:line="276" w:lineRule="auto"/>
        <w:bidi/>
        <w:jc w:val="right"/>
      </w:pPr>
      <w:r>
        <w:rPr>
          <w:rFonts w:ascii="Dubai" w:hAnsi="Dubai" w:cs="Dubai"/>
          <w:b/>
          <w:i w:val="0"/>
          <w:color w:val="1565C0"/>
          <w:sz w:val="23"/>
          <w:rtl w:val="1"/>
          <w:szCs w:val="23"/>
          <w:bCs/>
        </w:rPr>
        <w:t>۱۳-۳. محل انجام مطالعه</w:t>
      </w:r>
    </w:p>
    <w:p>
      <w:pPr>
        <w:spacing w:before="40" w:after="70" w:line="276" w:lineRule="auto"/>
        <w:bidi/>
        <w:jc w:val="both"/>
      </w:pPr>
      <w:r>
        <w:rPr>
          <w:rFonts w:ascii="Dubai" w:hAnsi="Dubai" w:cs="Dubai"/>
          <w:b w:val="0"/>
          <w:i w:val="0"/>
          <w:color w:val="000000"/>
          <w:sz w:val="22"/>
          <w:rtl w:val="1"/>
          <w:szCs w:val="22"/>
        </w:rPr>
        <w:t>آزمایشگاه‌های تحقیقاتی و مراکز درمانی دانشگاه علوم پزشکی.</w:t>
      </w:r>
    </w:p>
    <w:p>
      <w:pPr>
        <w:spacing w:before="160" w:after="80" w:line="276" w:lineRule="auto"/>
        <w:bidi/>
        <w:jc w:val="right"/>
      </w:pPr>
      <w:r>
        <w:rPr>
          <w:rFonts w:ascii="Dubai" w:hAnsi="Dubai" w:cs="Dubai"/>
          <w:b/>
          <w:i w:val="0"/>
          <w:color w:val="1565C0"/>
          <w:sz w:val="23"/>
          <w:rtl w:val="1"/>
          <w:szCs w:val="23"/>
          <w:bCs/>
        </w:rPr>
        <w:t>۱۳-۴. معیارهای ورود به مطالعه</w:t>
      </w:r>
    </w:p>
    <w:p>
      <w:pPr>
        <w:spacing w:before="40" w:after="70" w:line="276" w:lineRule="auto"/>
        <w:bidi/>
        <w:jc w:val="both"/>
      </w:pPr>
      <w:r>
        <w:rPr>
          <w:rFonts w:ascii="Dubai" w:hAnsi="Dubai" w:cs="Dubai"/>
          <w:b w:val="0"/>
          <w:i w:val="0"/>
          <w:color w:val="000000"/>
          <w:sz w:val="22"/>
          <w:rtl w:val="1"/>
          <w:szCs w:val="22"/>
        </w:rPr>
        <w:t>نمونه‌ها یا سلول‌های واجد خلوص بیولوژیک تاییدشده و شرایط استاندارد کشت.</w:t>
      </w:r>
    </w:p>
    <w:p>
      <w:pPr>
        <w:spacing w:before="160" w:after="80" w:line="276" w:lineRule="auto"/>
        <w:bidi/>
        <w:jc w:val="right"/>
      </w:pPr>
      <w:r>
        <w:rPr>
          <w:rFonts w:ascii="Dubai" w:hAnsi="Dubai" w:cs="Dubai"/>
          <w:b/>
          <w:i w:val="0"/>
          <w:color w:val="1565C0"/>
          <w:sz w:val="23"/>
          <w:rtl w:val="1"/>
          <w:szCs w:val="23"/>
          <w:bCs/>
        </w:rPr>
        <w:t>۱۳-۵. معیارهای خروج از مطالعه</w:t>
      </w:r>
    </w:p>
    <w:p>
      <w:pPr>
        <w:spacing w:before="40" w:after="70" w:line="276" w:lineRule="auto"/>
        <w:bidi/>
        <w:jc w:val="both"/>
      </w:pPr>
      <w:r>
        <w:rPr>
          <w:rFonts w:ascii="Dubai" w:hAnsi="Dubai" w:cs="Dubai"/>
          <w:b w:val="0"/>
          <w:i w:val="0"/>
          <w:color w:val="000000"/>
          <w:sz w:val="22"/>
          <w:rtl w:val="1"/>
          <w:szCs w:val="22"/>
        </w:rPr>
        <w:t>هرگونه آلودگی باکتریایی یا مایکوپلاسمایی، عدم پاسخ‌دهی به کنترل مثبت یا عدم تطابق ژنتیکی.</w:t>
      </w:r>
    </w:p>
    <w:p>
      <w:pPr>
        <w:spacing w:before="160" w:after="80" w:line="276" w:lineRule="auto"/>
        <w:bidi/>
        <w:jc w:val="right"/>
      </w:pPr>
      <w:r>
        <w:rPr>
          <w:rFonts w:ascii="Dubai" w:hAnsi="Dubai" w:cs="Dubai"/>
          <w:b/>
          <w:i w:val="0"/>
          <w:color w:val="1565C0"/>
          <w:sz w:val="23"/>
          <w:rtl w:val="1"/>
          <w:szCs w:val="23"/>
          <w:bCs/>
        </w:rPr>
        <w:t>۱۳-۶. ابزارهای گردآوری اطلاعات</w:t>
      </w:r>
    </w:p>
    <w:p>
      <w:pPr>
        <w:spacing w:before="40" w:after="70" w:line="276" w:lineRule="auto"/>
        <w:bidi/>
        <w:jc w:val="both"/>
      </w:pPr>
      <w:r>
        <w:rPr>
          <w:rFonts w:ascii="Dubai" w:hAnsi="Dubai" w:cs="Dubai"/>
          <w:b w:val="0"/>
          <w:i w:val="0"/>
          <w:color w:val="000000"/>
          <w:sz w:val="22"/>
          <w:rtl w:val="1"/>
          <w:szCs w:val="22"/>
        </w:rPr>
        <w:t>اسپکتروفتومتری رنگ‌سنجی MTT در ۵۷۰ نانومتر، محاسبه کمی با الگوریتم چو-تالاتای در CompuSyn.</w:t>
      </w:r>
    </w:p>
    <w:p>
      <w:pPr>
        <w:spacing w:before="160" w:after="80" w:line="276" w:lineRule="auto"/>
        <w:bidi/>
        <w:jc w:val="right"/>
      </w:pPr>
      <w:r>
        <w:rPr>
          <w:rFonts w:ascii="Dubai" w:hAnsi="Dubai" w:cs="Dubai"/>
          <w:b/>
          <w:i w:val="0"/>
          <w:color w:val="1565C0"/>
          <w:sz w:val="23"/>
          <w:rtl w:val="1"/>
          <w:szCs w:val="23"/>
          <w:bCs/>
        </w:rPr>
        <w:t>۱۳-۷. تعیین اعتبار ابزار گردآوری</w:t>
      </w:r>
    </w:p>
    <w:p>
      <w:pPr>
        <w:spacing w:before="40" w:after="70" w:line="276" w:lineRule="auto"/>
        <w:bidi/>
        <w:jc w:val="both"/>
      </w:pPr>
      <w:r>
        <w:rPr>
          <w:rFonts w:ascii="Dubai" w:hAnsi="Dubai" w:cs="Dubai"/>
          <w:b w:val="0"/>
          <w:i w:val="0"/>
          <w:color w:val="000000"/>
          <w:sz w:val="22"/>
          <w:rtl w:val="1"/>
          <w:szCs w:val="22"/>
        </w:rPr>
        <w:t>کالیبراسیون استاندارد ابزارهای آزمایشگاهی و مقایسه با استانداردهای مرجع بین‌المللی.</w:t>
      </w:r>
    </w:p>
    <w:p>
      <w:pPr>
        <w:spacing w:before="160" w:after="80" w:line="276" w:lineRule="auto"/>
        <w:bidi/>
        <w:jc w:val="right"/>
      </w:pPr>
      <w:r>
        <w:rPr>
          <w:rFonts w:ascii="Dubai" w:hAnsi="Dubai" w:cs="Dubai"/>
          <w:b/>
          <w:i w:val="0"/>
          <w:color w:val="1565C0"/>
          <w:sz w:val="23"/>
          <w:rtl w:val="1"/>
          <w:szCs w:val="23"/>
          <w:bCs/>
        </w:rPr>
        <w:t>۱۳-۸. تعیین پایایی / قابلیت اعتماد ابزار در صورت نیاز</w:t>
      </w:r>
    </w:p>
    <w:p>
      <w:pPr>
        <w:spacing w:before="40" w:after="70" w:line="276" w:lineRule="auto"/>
        <w:bidi/>
        <w:jc w:val="both"/>
      </w:pPr>
      <w:r>
        <w:rPr>
          <w:rFonts w:ascii="Dubai" w:hAnsi="Dubai" w:cs="Dubai"/>
          <w:b w:val="0"/>
          <w:i w:val="0"/>
          <w:color w:val="000000"/>
          <w:sz w:val="22"/>
          <w:rtl w:val="1"/>
          <w:szCs w:val="22"/>
        </w:rPr>
        <w:t>تکرار مستقل آزمایش‌ها یا اندازه‌گیری‌ها بر مبنای استانداردهای روش‌شناختی مصوب و تایید پایایی ابزارها.</w:t>
      </w:r>
    </w:p>
    <w:p>
      <w:pPr>
        <w:spacing w:before="160" w:after="80" w:line="276" w:lineRule="auto"/>
        <w:bidi/>
        <w:jc w:val="right"/>
      </w:pPr>
      <w:r>
        <w:rPr>
          <w:rFonts w:ascii="Dubai" w:hAnsi="Dubai" w:cs="Dubai"/>
          <w:b/>
          <w:i w:val="0"/>
          <w:color w:val="1565C0"/>
          <w:sz w:val="23"/>
          <w:rtl w:val="1"/>
          <w:szCs w:val="23"/>
          <w:bCs/>
        </w:rPr>
        <w:t>۱۳-۹. حجم نمونه و روش محاسبه آن</w:t>
      </w:r>
    </w:p>
    <w:p>
      <w:pPr>
        <w:spacing w:before="40" w:after="70" w:line="276" w:lineRule="auto"/>
        <w:bidi/>
        <w:jc w:val="both"/>
      </w:pPr>
      <w:r>
        <w:rPr>
          <w:rFonts w:ascii="Dubai" w:hAnsi="Dubai" w:cs="Dubai"/>
          <w:b w:val="0"/>
          <w:i w:val="0"/>
          <w:color w:val="000000"/>
          <w:sz w:val="22"/>
          <w:rtl w:val="1"/>
          <w:szCs w:val="22"/>
        </w:rPr>
        <w:t>تعیین حجم نمونه بر مبنای استاندارد IN_VITRO_CELLULAR: Triplicate independent biological passages (n=3 biological replicates, each assayed in technical triplicate).</w:t>
      </w:r>
    </w:p>
    <w:p>
      <w:pPr>
        <w:spacing w:before="160" w:after="80" w:line="276" w:lineRule="auto"/>
        <w:bidi/>
        <w:jc w:val="right"/>
      </w:pPr>
      <w:r>
        <w:rPr>
          <w:rFonts w:ascii="Dubai" w:hAnsi="Dubai" w:cs="Dubai"/>
          <w:b/>
          <w:i w:val="0"/>
          <w:color w:val="1565C0"/>
          <w:sz w:val="23"/>
          <w:rtl w:val="1"/>
          <w:szCs w:val="23"/>
          <w:bCs/>
        </w:rPr>
        <w:t>۱۳-۱۰. روش تجزیه و تحلیل داده</w:t>
      </w:r>
    </w:p>
    <w:p>
      <w:pPr>
        <w:spacing w:before="40" w:after="40" w:line="276" w:lineRule="auto"/>
        <w:bidi/>
        <w:jc w:val="both"/>
      </w:pPr>
      <w:r>
        <w:rPr>
          <w:rFonts w:ascii="Dubai" w:hAnsi="Dubai" w:cs="Dubai"/>
          <w:b w:val="0"/>
          <w:i w:val="0"/>
          <w:color w:val="000000"/>
          <w:sz w:val="21"/>
          <w:rtl w:val="1"/>
          <w:szCs w:val="21"/>
        </w:rPr>
        <w:t>• تحلیل واریانس دوطرفه (Two-way ANOVA) جهت ارزیابی اثرات اصلی و اثر متقابل (Interaction effect)</w:t>
      </w:r>
    </w:p>
    <w:p>
      <w:pPr>
        <w:spacing w:before="40" w:after="40" w:line="276" w:lineRule="auto"/>
        <w:bidi/>
        <w:jc w:val="both"/>
      </w:pPr>
      <w:r>
        <w:rPr>
          <w:rFonts w:ascii="Dubai" w:hAnsi="Dubai" w:cs="Dubai"/>
          <w:b w:val="0"/>
          <w:i w:val="0"/>
          <w:color w:val="000000"/>
          <w:sz w:val="21"/>
          <w:rtl w:val="1"/>
          <w:szCs w:val="21"/>
        </w:rPr>
        <w:t>• آزمون تعقیبی توکی (Tukey's HSD post-hoc test) جهت مقایسه‌های چندگانه میان گروه‌ها</w:t>
      </w:r>
    </w:p>
    <w:p>
      <w:pPr>
        <w:spacing w:before="40" w:after="40" w:line="276" w:lineRule="auto"/>
        <w:bidi/>
        <w:jc w:val="both"/>
      </w:pPr>
      <w:r>
        <w:rPr>
          <w:rFonts w:ascii="Dubai" w:hAnsi="Dubai" w:cs="Dubai"/>
          <w:b w:val="0"/>
          <w:i w:val="0"/>
          <w:color w:val="000000"/>
          <w:sz w:val="21"/>
          <w:rtl w:val="1"/>
          <w:szCs w:val="21"/>
        </w:rPr>
        <w:t>• مدل‌های ریاضی استاندارد سنجش هم‌افزایی (مانند نسبت ترکیب یا نمایه میان‌کنش) جهت تعیین ماهیت تعامل</w:t>
      </w:r>
    </w:p>
    <w:p>
      <w:pPr>
        <w:spacing w:before="40" w:after="40" w:line="276" w:lineRule="auto"/>
        <w:bidi/>
        <w:jc w:val="both"/>
      </w:pPr>
      <w:r>
        <w:rPr>
          <w:rFonts w:ascii="Dubai" w:hAnsi="Dubai" w:cs="Dubai"/>
          <w:b w:val="0"/>
          <w:i w:val="0"/>
          <w:color w:val="000000"/>
          <w:sz w:val="21"/>
          <w:rtl w:val="1"/>
          <w:szCs w:val="21"/>
        </w:rPr>
        <w:t>• آزمون شاپیرو-ویلک (Shapiro-Wilk) جهت بررسی نرمال بودن توزیع داده‌ها</w:t>
      </w:r>
    </w:p>
    <w:p>
      <w:pPr>
        <w:spacing w:before="40" w:after="40" w:line="276" w:lineRule="auto"/>
        <w:bidi/>
        <w:jc w:val="both"/>
      </w:pPr>
      <w:r>
        <w:rPr>
          <w:rFonts w:ascii="Dubai" w:hAnsi="Dubai" w:cs="Dubai"/>
          <w:b w:val="0"/>
          <w:i w:val="0"/>
          <w:color w:val="000000"/>
          <w:sz w:val="21"/>
          <w:rtl w:val="1"/>
          <w:szCs w:val="21"/>
        </w:rPr>
        <w:t>• سطح معنی‌داری آماری در تمام تحلیل‌ها p &lt; 0.05 با فواصل اطمینان ۹۵٪ دوطرفه لحاظ خواهد شد</w:t>
      </w:r>
    </w:p>
    <w:p>
      <w:pPr>
        <w:spacing w:before="160" w:after="80" w:line="276" w:lineRule="auto"/>
        <w:bidi/>
        <w:jc w:val="right"/>
      </w:pPr>
      <w:r>
        <w:rPr>
          <w:rFonts w:ascii="Dubai" w:hAnsi="Dubai" w:cs="Dubai"/>
          <w:b/>
          <w:i w:val="0"/>
          <w:color w:val="1565C0"/>
          <w:sz w:val="23"/>
          <w:rtl w:val="1"/>
          <w:szCs w:val="23"/>
          <w:bCs/>
        </w:rPr>
        <w:t>۱۳-۱۱. ملاحظات اخلاقی در صورت نیاز</w:t>
      </w:r>
    </w:p>
    <w:p>
      <w:pPr>
        <w:spacing w:before="40" w:after="70" w:line="276" w:lineRule="auto"/>
        <w:bidi/>
        <w:jc w:val="both"/>
      </w:pPr>
      <w:r>
        <w:rPr>
          <w:rFonts w:ascii="Dubai" w:hAnsi="Dubai" w:cs="Dubai"/>
          <w:b w:val="0"/>
          <w:i w:val="0"/>
          <w:color w:val="000000"/>
          <w:sz w:val="22"/>
          <w:rtl w:val="1"/>
          <w:szCs w:val="22"/>
        </w:rPr>
        <w:t>طرح حاضر یک پژوهش آزمایشگاهی سلولی و مولکولی بر روی سیستم‌های مدل استاندارد است. کدهای اخلاق مربوط به پژوهش‌های آزمایشگاهی و زیست‌پزشکی رعایت گردیده و کلیه موازین دفع بهداشتی پسماندهای بیولوژیک طبق دستورالعمل‌های استاندارد ایمنی زیستی (متناسب با سطح خطرات عوامل بیولوژیک مورد استفاده) اعمال می‌گردد. به دلیل عدم مداخله بر آزمودنی‌های انسانی یا حیوانات زنده، اخذ فرم رضایت آگاهانه انسانی یا ملاحظات آزمودنی‌های آسیب‌پذیر موضوعیت ندارد (NOT_APPLICABLE_WITH_JUSTIFICATION).</w:t>
      </w:r>
    </w:p>
    <w:p>
      <w:pPr>
        <w:spacing w:before="160" w:after="80" w:line="276" w:lineRule="auto"/>
        <w:bidi/>
        <w:jc w:val="right"/>
      </w:pPr>
      <w:r>
        <w:rPr>
          <w:rFonts w:ascii="Dubai" w:hAnsi="Dubai" w:cs="Dubai"/>
          <w:b/>
          <w:i w:val="0"/>
          <w:color w:val="1565C0"/>
          <w:sz w:val="23"/>
          <w:rtl w:val="1"/>
          <w:szCs w:val="23"/>
          <w:bCs/>
        </w:rPr>
        <w:t>۱۳-۱۲. نحوه رعایت نکات امنیتی و حفاظت پروژه در صورت نیاز</w:t>
      </w:r>
    </w:p>
    <w:p>
      <w:pPr>
        <w:spacing w:before="40" w:after="70" w:line="276" w:lineRule="auto"/>
        <w:bidi/>
        <w:jc w:val="both"/>
      </w:pPr>
      <w:r>
        <w:rPr>
          <w:rFonts w:ascii="Dubai" w:hAnsi="Dubai" w:cs="Dubai"/>
          <w:b w:val="0"/>
          <w:i w:val="0"/>
          <w:color w:val="000000"/>
          <w:sz w:val="22"/>
          <w:rtl w:val="1"/>
          <w:szCs w:val="22"/>
        </w:rPr>
        <w:t>رعایت کلیه موازین حفاظت و ایمنی متناسب با ماهیت طرح و دستورالعمل‌های مصوب کمیته ایمنی و حفاظت پژوهش.</w:t>
      </w:r>
    </w:p>
    <w:p>
      <w:pPr>
        <w:spacing w:before="160" w:after="80" w:line="276" w:lineRule="auto"/>
        <w:bidi/>
        <w:jc w:val="right"/>
      </w:pPr>
      <w:r>
        <w:rPr>
          <w:rFonts w:ascii="Dubai" w:hAnsi="Dubai" w:cs="Dubai"/>
          <w:b/>
          <w:i w:val="0"/>
          <w:color w:val="1565C0"/>
          <w:sz w:val="23"/>
          <w:rtl w:val="1"/>
          <w:szCs w:val="23"/>
          <w:bCs/>
        </w:rPr>
        <w:t>۱۳-۱۳. مشکلات و محدودیت‌ها</w:t>
      </w:r>
    </w:p>
    <w:p>
      <w:pPr>
        <w:spacing w:before="40" w:after="70" w:line="276" w:lineRule="auto"/>
        <w:bidi/>
        <w:jc w:val="both"/>
      </w:pPr>
      <w:r>
        <w:rPr>
          <w:rFonts w:ascii="Dubai" w:hAnsi="Dubai" w:cs="Dubai"/>
          <w:b w:val="0"/>
          <w:i w:val="0"/>
          <w:color w:val="000000"/>
          <w:sz w:val="22"/>
          <w:rtl w:val="1"/>
          <w:szCs w:val="22"/>
        </w:rPr>
        <w:t>کنترل نوسانات کشت زیستی، رفع سمیت‌های زمینه‌ای و بهینه‌سازی فرمولاسیون مداخله.</w:t>
      </w:r>
    </w:p>
    <w:p>
      <w:pPr>
        <w:spacing w:before="160" w:after="80" w:line="276" w:lineRule="auto"/>
        <w:bidi/>
        <w:jc w:val="right"/>
      </w:pPr>
      <w:r>
        <w:rPr>
          <w:rFonts w:ascii="Dubai" w:hAnsi="Dubai" w:cs="Dubai"/>
          <w:b/>
          <w:i w:val="0"/>
          <w:color w:val="1565C0"/>
          <w:sz w:val="23"/>
          <w:rtl w:val="1"/>
          <w:szCs w:val="23"/>
          <w:bCs/>
        </w:rPr>
        <w:t>۱۳-۱۴. روش انجام طرح، شیوه اجرایی مراحل طرح و چگونگی جمع‌آوری اطلاعات</w:t>
      </w:r>
    </w:p>
    <w:p>
      <w:pPr>
        <w:spacing w:before="40" w:after="70" w:line="276" w:lineRule="auto"/>
        <w:bidi/>
        <w:jc w:val="both"/>
      </w:pPr>
      <w:r>
        <w:rPr>
          <w:rFonts w:ascii="Dubai" w:hAnsi="Dubai" w:cs="Dubai"/>
          <w:b w:val="0"/>
          <w:i w:val="0"/>
          <w:color w:val="000000"/>
          <w:sz w:val="22"/>
          <w:rtl w:val="1"/>
          <w:szCs w:val="22"/>
        </w:rPr>
        <w:t>اجرای مرحله‌ای آزمایش‌ها طبق فازبندی گانت چارت از تایید هویت تا تحلیل داده‌های نهایی.</w:t>
      </w:r>
    </w:p>
    <w:p>
      <w:pPr>
        <w:spacing w:before="40" w:after="70" w:line="276" w:lineRule="auto"/>
        <w:bidi/>
        <w:jc w:val="both"/>
      </w:pPr>
      <w:r>
        <w:rPr>
          <w:rFonts w:ascii="Dubai" w:hAnsi="Dubai" w:cs="Dubai"/>
          <w:b w:val="0"/>
          <w:i w:val="0"/>
          <w:color w:val="000000"/>
          <w:sz w:val="22"/>
          <w:rtl w:val="1"/>
          <w:szCs w:val="22"/>
        </w:rPr>
        <w:t>---</w:t>
      </w:r>
    </w:p>
    <w:p>
      <w:pPr>
        <w:spacing w:before="240" w:after="120" w:line="276" w:lineRule="auto"/>
        <w:bidi/>
        <w:jc w:val="right"/>
      </w:pPr>
      <w:r>
        <w:rPr>
          <w:rFonts w:ascii="Dubai" w:hAnsi="Dubai" w:cs="Dubai"/>
          <w:b/>
          <w:i w:val="0"/>
          <w:color w:val="0D47A1"/>
          <w:sz w:val="26"/>
          <w:rtl w:val="1"/>
          <w:szCs w:val="26"/>
          <w:bCs/>
        </w:rPr>
        <w:t>۱۴. فهرست منابع (References)</w:t>
      </w:r>
    </w:p>
    <w:p>
      <w:pPr>
        <w:spacing w:before="40" w:after="70" w:line="276" w:lineRule="auto"/>
        <w:bidi/>
        <w:jc w:val="both"/>
      </w:pPr>
      <w:r>
        <w:rPr>
          <w:rFonts w:ascii="Dubai" w:hAnsi="Dubai" w:cs="Dubai"/>
          <w:b w:val="0"/>
          <w:i w:val="0"/>
          <w:color w:val="000000"/>
          <w:sz w:val="22"/>
          <w:rtl w:val="1"/>
          <w:szCs w:val="22"/>
        </w:rPr>
        <w:t>[1] Chen Z, Luo R, Xu T et al.. Design, synthesis and antitumor effects of lupeol quaternary phosphonium salt derivatives. *Bioorg Med Chem*. 2024. DOI: https://doi.org/10.1016/j.bmc.2024.117934 PMID: 39369566</w:t>
      </w:r>
    </w:p>
    <w:p>
      <w:pPr>
        <w:spacing w:before="40" w:after="70" w:line="276" w:lineRule="auto"/>
        <w:bidi/>
        <w:jc w:val="both"/>
      </w:pPr>
      <w:r>
        <w:rPr>
          <w:rFonts w:ascii="Dubai" w:hAnsi="Dubai" w:cs="Dubai"/>
          <w:b w:val="0"/>
          <w:i w:val="0"/>
          <w:color w:val="000000"/>
          <w:sz w:val="22"/>
          <w:rtl w:val="1"/>
          <w:szCs w:val="22"/>
        </w:rPr>
        <w:t>[2] Zhao Y, Hou L, Tian S et al.. Development of lupeol derivatives based on tubulin-targeting strategy: structural modification and correlation analysis of antitumor activity. *Bioorg Med Chem*. 2026. DOI: https://doi.org/10.1016/j.bmc.2025.118498 PMID: 41297068</w:t>
      </w:r>
    </w:p>
    <w:p>
      <w:pPr>
        <w:spacing w:before="40" w:after="70" w:line="276" w:lineRule="auto"/>
        <w:bidi/>
        <w:jc w:val="both"/>
      </w:pPr>
      <w:r>
        <w:rPr>
          <w:rFonts w:ascii="Dubai" w:hAnsi="Dubai" w:cs="Dubai"/>
          <w:b w:val="0"/>
          <w:i w:val="0"/>
          <w:color w:val="000000"/>
          <w:sz w:val="22"/>
          <w:rtl w:val="1"/>
          <w:szCs w:val="22"/>
        </w:rPr>
        <w:t>[3] Seglab F, Abou Assali M, AlYafei T et al.. Chemical Composition, Antioxidant Capacity, and Anticancerous Effects against Human Lung Cancer Cells of a Terpenoid-Rich Fraction of Inula viscosa. *Biology (Basel)*. 2024. DOI: https://doi.org/10.3390/biology13090687 PMID: 39336114</w:t>
      </w:r>
    </w:p>
    <w:p>
      <w:pPr>
        <w:spacing w:before="40" w:after="70" w:line="276" w:lineRule="auto"/>
        <w:bidi/>
        <w:jc w:val="both"/>
      </w:pPr>
      <w:r>
        <w:rPr>
          <w:rFonts w:ascii="Dubai" w:hAnsi="Dubai" w:cs="Dubai"/>
          <w:b w:val="0"/>
          <w:i w:val="0"/>
          <w:color w:val="000000"/>
          <w:sz w:val="22"/>
          <w:rtl w:val="1"/>
          <w:szCs w:val="22"/>
        </w:rPr>
        <w:t>[4] Tian S, Zhao Y, Deng S et al.. Lupeol-3-carbamate Derivatives: Synthesis and Biological Evaluation as Potential Antitumor Agents. *Molecules*. 2024. DOI: https://doi.org/10.3390/molecules29173990 PMID: 39274838</w:t>
      </w:r>
    </w:p>
    <w:p>
      <w:pPr>
        <w:spacing w:before="40" w:after="70" w:line="276" w:lineRule="auto"/>
        <w:bidi/>
        <w:jc w:val="both"/>
      </w:pPr>
      <w:r>
        <w:rPr>
          <w:rFonts w:ascii="Dubai" w:hAnsi="Dubai" w:cs="Dubai"/>
          <w:b w:val="0"/>
          <w:i w:val="0"/>
          <w:color w:val="000000"/>
          <w:sz w:val="22"/>
          <w:rtl w:val="1"/>
          <w:szCs w:val="22"/>
        </w:rPr>
        <w:t>[5] Zhao C, Tang N, Wang J et al.. p53-mediated regulation of electron transport chain and nucleotide synthesis during Newcastle disease virus infection. *J Virol*. 2025. DOI: https://doi.org/10.1128/jvi.01576-25 PMID: 41170972</w:t>
      </w:r>
    </w:p>
    <w:p>
      <w:pPr>
        <w:spacing w:before="40" w:after="70" w:line="276" w:lineRule="auto"/>
        <w:bidi/>
        <w:jc w:val="both"/>
      </w:pPr>
      <w:r>
        <w:rPr>
          <w:rFonts w:ascii="Dubai" w:hAnsi="Dubai" w:cs="Dubai"/>
          <w:b w:val="0"/>
          <w:i w:val="0"/>
          <w:color w:val="000000"/>
          <w:sz w:val="22"/>
          <w:rtl w:val="1"/>
          <w:szCs w:val="22"/>
        </w:rPr>
        <w:t>[6] Liang Y, Tian WY, Huang JJ et al.. MicroRNA-204 plays a role as a tumor suppressor in Newcastle disease virus-induced oncolysis in lung cancer A549 cells. *Oncol Lett*. 2021. DOI: https://doi.org/10.3892/ol.2021.12743 PMID: 33968198</w:t>
      </w:r>
    </w:p>
    <w:p>
      <w:pPr>
        <w:spacing w:before="40" w:after="70" w:line="276" w:lineRule="auto"/>
        <w:bidi/>
        <w:jc w:val="both"/>
      </w:pPr>
      <w:r>
        <w:rPr>
          <w:rFonts w:ascii="Dubai" w:hAnsi="Dubai" w:cs="Dubai"/>
          <w:b w:val="0"/>
          <w:i w:val="0"/>
          <w:color w:val="000000"/>
          <w:sz w:val="22"/>
          <w:rtl w:val="1"/>
          <w:szCs w:val="22"/>
        </w:rPr>
        <w:t>[7] Rosewell Shaw A, Morita D, Porter CE et al.. IL-12 encoding oNDV synergizes with CAR-T cells in orthotopic models of non-small cell lung cancer. *Mol Ther Oncol*. 2024. DOI: https://doi.org/10.1016/j.omton.2024.200899 PMID: 39624055</w:t>
      </w:r>
    </w:p>
    <w:p>
      <w:pPr>
        <w:spacing w:before="40" w:after="70" w:line="276" w:lineRule="auto"/>
        <w:bidi/>
        <w:jc w:val="both"/>
      </w:pPr>
      <w:r>
        <w:rPr>
          <w:rFonts w:ascii="Dubai" w:hAnsi="Dubai" w:cs="Dubai"/>
          <w:b w:val="0"/>
          <w:i w:val="0"/>
          <w:color w:val="000000"/>
          <w:sz w:val="22"/>
          <w:rtl w:val="1"/>
          <w:szCs w:val="22"/>
        </w:rPr>
        <w:t>[8] Kumar A, Bhardwaj N, Sharma R et al.. In silico and in vitro evaluation of synergistic anticancer effects of erucin and kaempferol from Eruca sativa against human A549 non-small cell lung cancer cells (NSCLC). *Cytotechnology*. 2026. DOI: https://doi.org/10.1007/s10616-026-01049-w PMID: 42621169</w:t>
      </w:r>
    </w:p>
    <w:p>
      <w:pPr>
        <w:spacing w:before="40" w:after="70" w:line="276" w:lineRule="auto"/>
        <w:bidi/>
        <w:jc w:val="both"/>
      </w:pPr>
      <w:r>
        <w:rPr>
          <w:rFonts w:ascii="Dubai" w:hAnsi="Dubai" w:cs="Dubai"/>
          <w:b w:val="0"/>
          <w:i w:val="0"/>
          <w:color w:val="000000"/>
          <w:sz w:val="22"/>
          <w:rtl w:val="1"/>
          <w:szCs w:val="22"/>
        </w:rPr>
        <w:t>[9] Sun Y, Fang T, Tan L et al.. Integrated transcriptomics, proteomics, and metabolomics analysis reveals newcastle disease virus reshapes glycerophospholipid metabolism. *BMC Genomics*. 2026. DOI: https://doi.org/10.1186/s12864-026-12760-5 PMID: 41942850</w:t>
      </w:r>
    </w:p>
    <w:p>
      <w:pPr>
        <w:spacing w:before="40" w:after="70" w:line="276" w:lineRule="auto"/>
        <w:bidi/>
        <w:jc w:val="both"/>
      </w:pPr>
      <w:r>
        <w:rPr>
          <w:rFonts w:ascii="Dubai" w:hAnsi="Dubai" w:cs="Dubai"/>
          <w:b w:val="0"/>
          <w:i w:val="0"/>
          <w:color w:val="000000"/>
          <w:sz w:val="22"/>
          <w:rtl w:val="1"/>
          <w:szCs w:val="22"/>
        </w:rPr>
        <w:t>[10] Aborehab NM, Salama MM, Ezzat SM. A novel lupene derivative from Thymus capitatus possesses an apoptosis-inducing effect via Let-7 miRNA/Cyclin D1/VEGF cascade in the A549 cell line. *BMC Complement Med Ther*. 2023. DOI: https://doi.org/10.1186/s12906-023-04201-7 PMID: 37845669</w:t>
      </w:r>
    </w:p>
    <w:p>
      <w:pPr>
        <w:spacing w:before="40" w:after="70" w:line="276" w:lineRule="auto"/>
        <w:bidi/>
        <w:jc w:val="both"/>
      </w:pPr>
      <w:r>
        <w:rPr>
          <w:rFonts w:ascii="Dubai" w:hAnsi="Dubai" w:cs="Dubai"/>
          <w:b w:val="0"/>
          <w:i w:val="0"/>
          <w:color w:val="000000"/>
          <w:sz w:val="22"/>
          <w:rtl w:val="1"/>
          <w:szCs w:val="22"/>
        </w:rPr>
        <w:t>[11] Ali Akbar Esfahani M, Dorostkar R, Esmaeili Gouvarchin Ghaleh H et al.. Evaluation of the Effects of Newcastle Disease Virus as an Oncolytic Virus on the Expression of Apoptosis-related Genes in TC-1 Cell Line. *Iran J Allergy Asthma Immunol*. 2026. DOI: https://doi.org/10.18502/ijaai.v25i1.20440 PMID: 41674174</w:t>
      </w:r>
    </w:p>
    <w:p>
      <w:pPr>
        <w:spacing w:before="40" w:after="70" w:line="276" w:lineRule="auto"/>
        <w:bidi/>
        <w:jc w:val="both"/>
      </w:pPr>
      <w:r>
        <w:rPr>
          <w:rFonts w:ascii="Dubai" w:hAnsi="Dubai" w:cs="Dubai"/>
          <w:b w:val="0"/>
          <w:i w:val="0"/>
          <w:color w:val="000000"/>
          <w:sz w:val="22"/>
          <w:rtl w:val="1"/>
          <w:szCs w:val="22"/>
        </w:rPr>
        <w:t>[12] Deng S, Zhao Y, Guo X et al.. Thiazolidinedione-Conjugated Lupeol Derivatives as Potent Anticancer Agents Through a Mitochondria-Mediated Apoptotic Pathway. *Molecules*. 2024. DOI: https://doi.org/10.3390/molecules29204957 PMID: 39459325</w:t>
      </w:r>
    </w:p>
    <w:p>
      <w:pPr>
        <w:spacing w:before="40" w:after="70" w:line="276" w:lineRule="auto"/>
        <w:bidi/>
        <w:jc w:val="both"/>
      </w:pPr>
      <w:r>
        <w:rPr>
          <w:rFonts w:ascii="Dubai" w:hAnsi="Dubai" w:cs="Dubai"/>
          <w:b w:val="0"/>
          <w:i w:val="0"/>
          <w:color w:val="000000"/>
          <w:sz w:val="22"/>
          <w:rtl w:val="1"/>
          <w:szCs w:val="22"/>
        </w:rPr>
        <w:t>[13] Bhatt M, Patel M, Adnan M et al.. Anti-Metastatic Effects of Lupeol via the Inhibition of MAPK/ERK Pathway in Lung Cancer. *Anticancer Agents Med Chem*. 2021. DOI: https://doi.org/10.2174/1871520620666200424131548 PMID: 32329697</w:t>
      </w:r>
    </w:p>
    <w:p>
      <w:pPr>
        <w:spacing w:before="40" w:after="70" w:line="276" w:lineRule="auto"/>
        <w:bidi/>
        <w:jc w:val="both"/>
      </w:pPr>
      <w:r>
        <w:rPr>
          <w:rFonts w:ascii="Dubai" w:hAnsi="Dubai" w:cs="Dubai"/>
          <w:b w:val="0"/>
          <w:i w:val="0"/>
          <w:color w:val="000000"/>
          <w:sz w:val="22"/>
          <w:rtl w:val="1"/>
          <w:szCs w:val="22"/>
        </w:rPr>
        <w:t>[14] Kortum F, Hartmann N, Bryan A et al.. Syncytial death mediated by oncolytic rVSV-NDV dynamically activates immunogenic apoptosis and necroptosis in human lung cancer cells. *Mol Ther Oncol*. 2025. DOI: https://doi.org/10.1016/j.omton.2025.201027 PMID: 40896365</w:t>
      </w:r>
    </w:p>
    <w:p>
      <w:pPr>
        <w:spacing w:before="40" w:after="70" w:line="276" w:lineRule="auto"/>
        <w:bidi/>
        <w:jc w:val="both"/>
      </w:pPr>
      <w:r>
        <w:rPr>
          <w:rFonts w:ascii="Dubai" w:hAnsi="Dubai" w:cs="Dubai"/>
          <w:b w:val="0"/>
          <w:i w:val="0"/>
          <w:color w:val="000000"/>
          <w:sz w:val="22"/>
          <w:rtl w:val="1"/>
          <w:szCs w:val="22"/>
        </w:rPr>
        <w:t>[15] Torres-Sanchez A, Torres G, Estrada S et al.. Unraveling the Impact of Six Pentacyclic Triterpenes Regulating Metabolic Pathways on Lung Carcinoma Cells. *Pharmaceuticals (Basel)*. 2024. DOI: https://doi.org/10.3390/ph17060694 PMID: 38931361</w:t>
      </w:r>
    </w:p>
    <w:p>
      <w:pPr>
        <w:spacing w:before="40" w:after="70" w:line="276" w:lineRule="auto"/>
        <w:bidi/>
        <w:jc w:val="both"/>
      </w:pPr>
      <w:r>
        <w:rPr>
          <w:rFonts w:ascii="Dubai" w:hAnsi="Dubai" w:cs="Dubai"/>
          <w:b w:val="0"/>
          <w:i w:val="0"/>
          <w:color w:val="000000"/>
          <w:sz w:val="22"/>
          <w:rtl w:val="1"/>
          <w:szCs w:val="22"/>
        </w:rPr>
        <w:t>[16] Shehzadi S, Noreen S, Imran H et al.. Unveiling the Phytochemical Profile and Anti-Cancer Potential of Lantana camara Leaf and Root Extracts Against MCF-7, HepG2, and A549 Cancer Cell Lines. *Food Sci Nutr*. 2025. DOI: https://doi.org/10.1002/fsn3.70915 PMID: 40951590</w:t>
      </w:r>
    </w:p>
    <w:p>
      <w:pPr>
        <w:spacing w:before="40" w:after="70" w:line="276" w:lineRule="auto"/>
        <w:bidi/>
        <w:jc w:val="both"/>
      </w:pPr>
      <w:r>
        <w:rPr>
          <w:rFonts w:ascii="Dubai" w:hAnsi="Dubai" w:cs="Dubai"/>
          <w:b w:val="0"/>
          <w:i w:val="0"/>
          <w:color w:val="000000"/>
          <w:sz w:val="22"/>
          <w:rtl w:val="1"/>
          <w:szCs w:val="22"/>
        </w:rPr>
        <w:t>[17] Ginting TE, Larasati YO, Cornelia V et al.. Newcastle Disease Virus - Induced Interferons Regulate PD-L1 and MICA Expression in Human Tumor and Normal Cells. *Immunotargets Ther*. 2026. DOI: https://doi.org/10.2147/itt.s614889 PMID: 42699700</w:t>
      </w:r>
    </w:p>
    <w:p>
      <w:pPr>
        <w:spacing w:before="40" w:after="70" w:line="276" w:lineRule="auto"/>
        <w:bidi/>
        <w:jc w:val="both"/>
      </w:pPr>
      <w:r>
        <w:rPr>
          <w:rFonts w:ascii="Dubai" w:hAnsi="Dubai" w:cs="Dubai"/>
          <w:b w:val="0"/>
          <w:i w:val="0"/>
          <w:color w:val="000000"/>
          <w:sz w:val="22"/>
          <w:rtl w:val="1"/>
          <w:szCs w:val="22"/>
        </w:rPr>
        <w:t>[18] Almalghooth HDM, Khalaj-Kondori M, Feizi MAH. Combination of paclitaxel with eugenol effectively enhances anticancer characteristics of paclitaxel on the A549 lung cancer cell line. *Cytotechnology*. 2026. DOI: https://doi.org/10.1007/s10616-026-01019-2 PMID: 42404852</w:t>
      </w:r>
    </w:p>
    <w:p>
      <w:pPr>
        <w:spacing w:before="40" w:after="70" w:line="276" w:lineRule="auto"/>
        <w:bidi/>
        <w:jc w:val="both"/>
      </w:pPr>
      <w:r>
        <w:rPr>
          <w:rFonts w:ascii="Dubai" w:hAnsi="Dubai" w:cs="Dubai"/>
          <w:b w:val="0"/>
          <w:i w:val="0"/>
          <w:color w:val="000000"/>
          <w:sz w:val="22"/>
          <w:rtl w:val="1"/>
          <w:szCs w:val="22"/>
        </w:rPr>
        <w:t>[19] Mosmann T. Rapid colorimetric assay for cellular growth and survival: application to proliferation and cytotoxicity assays. *J Immunol Methods*. 1983. DOI: https://doi.org/10.1016/0022-1759(83)90303-4 PMID: 6606682</w:t>
      </w:r>
    </w:p>
    <w:p>
      <w:pPr>
        <w:spacing w:before="40" w:after="70" w:line="276" w:lineRule="auto"/>
        <w:bidi/>
        <w:jc w:val="both"/>
      </w:pPr>
      <w:r>
        <w:rPr>
          <w:rFonts w:ascii="Dubai" w:hAnsi="Dubai" w:cs="Dubai"/>
          <w:b w:val="0"/>
          <w:i w:val="0"/>
          <w:color w:val="000000"/>
          <w:sz w:val="22"/>
          <w:rtl w:val="1"/>
          <w:szCs w:val="22"/>
        </w:rPr>
        <w:t>[20] Chou TC. Theoretical basis, experimental design, and computerized simulation of synergism and antagonism in drug combination studies. *Pharmacol Rev*. 2006. DOI: https://doi.org/10.1124/pr.58.3.10 PMID: 16968952</w:t>
      </w:r>
    </w:p>
    <w:p>
      <w:pPr>
        <w:spacing w:before="40" w:after="70" w:line="276" w:lineRule="auto"/>
        <w:bidi/>
        <w:jc w:val="both"/>
      </w:pPr>
      <w:r>
        <w:rPr>
          <w:rFonts w:ascii="Dubai" w:hAnsi="Dubai" w:cs="Dubai"/>
          <w:b w:val="0"/>
          <w:i w:val="0"/>
          <w:color w:val="000000"/>
          <w:sz w:val="22"/>
          <w:rtl w:val="1"/>
          <w:szCs w:val="22"/>
        </w:rPr>
        <w:t>[21] Chou TC, Talalay P. Quantitative analysis of dose-effect relationships: the combined effects of multiple drugs or enzyme inhibitors. *Adv Enzyme Regul*. 1984. DOI: https://doi.org/10.1016/0065-2571(84)90007-4 PMID: 6382953</w:t>
      </w:r>
    </w:p>
    <w:p>
      <w:pPr>
        <w:spacing w:before="40" w:after="70" w:line="276" w:lineRule="auto"/>
        <w:bidi/>
        <w:jc w:val="both"/>
      </w:pPr>
      <w:r>
        <w:rPr>
          <w:rFonts w:ascii="Dubai" w:hAnsi="Dubai" w:cs="Dubai"/>
          <w:b w:val="0"/>
          <w:i w:val="0"/>
          <w:color w:val="000000"/>
          <w:sz w:val="22"/>
          <w:rtl w:val="1"/>
          <w:szCs w:val="22"/>
        </w:rPr>
        <w:t>[22] Liu L, Song L, Liu T et al.. Recombinant oncolytic virus NDV-anti-VEGFR2 enhances radiotherapy sensitivity in NSCLC by targeting VEGF signaling and impairing DNA repair. *Gene Ther*. 2025. DOI: https://doi.org/10.1038/s41434-025-00540-x PMID: 40382521</w:t>
      </w:r>
    </w:p>
    <w:p>
      <w:pPr>
        <w:spacing w:before="40" w:after="70" w:line="276" w:lineRule="auto"/>
        <w:bidi/>
        <w:jc w:val="both"/>
      </w:pPr>
      <w:r>
        <w:rPr>
          <w:rFonts w:ascii="Dubai" w:hAnsi="Dubai" w:cs="Dubai"/>
          <w:b w:val="0"/>
          <w:i w:val="0"/>
          <w:color w:val="000000"/>
          <w:sz w:val="22"/>
          <w:rtl w:val="1"/>
          <w:szCs w:val="22"/>
        </w:rPr>
        <w:t>[23] Yu J, Chen S, Hou T et al.. Matrine Suppresses Lung Cancer Progression via Dual Inhibition of CHEK1-Mediated DNA Damage Repair and PI3K/AKT Survival Signaling. *Thorac Cancer*. 2026. DOI: https://doi.org/10.1111/1759-7714.70393 PMID: 42772808</w:t>
      </w:r>
    </w:p>
    <w:p>
      <w:pPr>
        <w:spacing w:before="40" w:after="70" w:line="276" w:lineRule="auto"/>
        <w:bidi/>
        <w:jc w:val="both"/>
      </w:pPr>
      <w:r>
        <w:rPr>
          <w:rFonts w:ascii="Dubai" w:hAnsi="Dubai" w:cs="Dubai"/>
          <w:b w:val="0"/>
          <w:i w:val="0"/>
          <w:color w:val="000000"/>
          <w:sz w:val="22"/>
          <w:rtl w:val="1"/>
          <w:szCs w:val="22"/>
        </w:rPr>
        <w:t>[24] Sun J, Jifu C, Qiu Y et al.. Jolkinolide B induces apoptosis and G1 arrest in A549 cells via JAK2/STAT3 inhibition. *Pak J Pharm Sci*. 2026. DOI: https://doi.org/10.36721/pjps.2026.39.11.328.1 PMID: 42633541</w:t>
      </w:r>
    </w:p>
    <w:p>
      <w:pPr>
        <w:spacing w:before="40" w:after="70" w:line="276" w:lineRule="auto"/>
        <w:bidi/>
        <w:jc w:val="both"/>
      </w:pPr>
      <w:r>
        <w:rPr>
          <w:rFonts w:ascii="Dubai" w:hAnsi="Dubai" w:cs="Dubai"/>
          <w:b w:val="0"/>
          <w:i w:val="0"/>
          <w:color w:val="000000"/>
          <w:sz w:val="22"/>
          <w:rtl w:val="1"/>
          <w:szCs w:val="22"/>
        </w:rPr>
        <w:t>[25] Yang Y, Wang Y, Campbell DE et al.. SLC35A2 gene product modulates paramyxovirus fusion events during infection. *PLoS Pathog*. 2025. DOI: https://doi.org/10.1371/journal.ppat.1012531 PMID: 39792924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