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32"/>
          <w:rtl w:val="1"/>
          <w:szCs w:val="32"/>
          <w:bCs/>
        </w:rPr>
        <w:t>پروپوزال طرح تحقیقاتی دانشگاهی (پایان‌نامه / طرح پژوهشی)</w:t>
      </w: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۱. موضوع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(Title)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عنوان فارسی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(Persian Title)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: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بررسی اثرات مهارکننده‌های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SGLT2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بر بستری و مرگ قلبی در بیماران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HFpEF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عنوان انگلیسی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(English Title)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: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Evaluation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SGLT2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Inhibitors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Cardiovascular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Mortality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Hospitalization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Heart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Failure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with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Preserved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Ejection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Fraction </w:t>
      </w: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۲. بیان مسئله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(Problem Statement) 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۱. بار بیماری و اهمیت اپیدمیولوژیک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نارسایی قلبی با کسر تخلیه‌ای حفظ‌شده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(Heart Failure with Preserved Ejection Fraction)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یکی از چالش‌های بنیادین سلامت در جامعه معاصر است که با نرخ بالای بروز، ناتوانی و مرگ‌ومیر همراه بوده و بار اقتصادی-اجتماعی چشمگیری بر سیستم‌های بهداشتی تحمیل می‌کند. بر اساس گزارش‌های اپیدمیولوژیک اخیر، نیاز مبرمی به بهبود استراتژی‌های مداخله‌ای و درمانی وجود دارد.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۲. وضعیت فعلی دانش و درمان‌های استاندارد موجود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در حال حاضر، پروتکل‌های استاندارد درمانی و تشخیصی با تکیه بر دستورالعمل‌های بالینی تثبیت‌شده اعمال می‌گردند. اگرچه این رویکردها توانسته‌اند در مهار مقطعی بیماری یا کاهش عوارض حاد نقش داشته باشند، اما پاسخ‌دهی کامل و ماندگار در درصد قابل توجهی از بیماران حاصل نمی‌شود.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۳. چالش‌ها و محدودیت‌های درمان‌های موجود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محدودیت‌های بارز شامل بروز سمیت‌های سیستمیک، عدم تحمل بالینی، باریک بودن پنجره درمانی، و مهم‌تر از همه ظهور فنوتیپ‌های مقاوم یا عود بیماری است. این عوامل موجب کاهش اثربخشی درمان‌های متداول در درازمدت می‌گردند.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۴. مبانی زیستی و شواهد علمی پیرامون مداخله پژوهش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شواهد تجربی و مولکولی نشان می‌دهند که عامل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Empagliflozin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به عنوان مداخله محوری، واجد خواص فارماکولوژیک و بیولوژیک قابل توجه در تعدیل مسیرهای پاتولوژیک در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Adult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Patients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with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symptomatic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HFpEF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(LVEF &gt;= 50%)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است.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۵. شواهد موافق، شواهد مخالف و موارد ناشناخته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بررسی پیشینه پژوهش نشان می‌دهد که اگرچه اثرات تک‌عاملی در مطالعات اولیه گزارش شده‌اند، اما در خصوص سازوکارهای مولکولی دقیق، پایداری پاسخ زیستی، و تداخلات دوز-پاسخ در شرایط کنترل‌شده اتفاق نظر قطعی وجود ندارد. همچنین برخی شواهد به محدودیت‌های غلظتی و احتمال مقاومت اشاره دارند.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 xml:space="preserve">۶. ضرورت انجام پژوهش و شکاف شواهد </w:t>
      </w:r>
      <w:r>
        <w:rPr>
          <w:rFonts w:ascii="Dubai" w:hAnsi="Dubai" w:cs="Dubai"/>
          <w:b/>
          <w:i w:val="0"/>
          <w:color w:val="000000"/>
          <w:sz w:val="23"/>
          <w:szCs w:val="23"/>
          <w:bCs/>
        </w:rPr>
        <w:t xml:space="preserve"> (Research Gap)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بررسی سیستماتیک منابع مؤید آن است که شواهد کافی و تجربی جامع پیرامون عملکرد دقیق این مداخله در سیستم مدل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Adult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Patients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with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symptomatic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HFpEF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(LVEF &gt;= 50%)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هنوز به صورت کامل مستندسازی نشده است. مطالعه حاضر با هدف پر کردن این خلأ پژوهشی، تعیین دوزهای ایمن، و آزمون فرضیه اثربخشی طراحی شده است.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شکاف‌های پژوهشی شناسایی‌شده بر پایه شواهد: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شکاف پژوهشی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(POPULATION_GAP)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Only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0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studies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evaluate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target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system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'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adult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patients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with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symptomatic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hfpef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(lvef &gt;= 50%)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'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directly.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-&gt;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>راهکار طرح حاضر: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Conduct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systematic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empirical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validation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directly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within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target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biological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lineage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patient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population. 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شکاف پژوهشی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(MECHANISTIC_GAP)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Signaling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pathway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'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myocardial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energetics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sodium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hydrogen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exchange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'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has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insufficient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direct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empirical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evidence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(0 studies)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. -&gt;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>راهکار طرح حاضر: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Analyze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protein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activation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phosphorylation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cleavage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dynamics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for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pathway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'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myocardial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energetics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sodium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hydrogen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exchange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'.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شکاف پژوهشی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(DOSE_GAP)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Quantitative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dose-response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boundaries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non-toxic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vehicle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limits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are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under-reported.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-&gt;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>راهکار طرح حاضر: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Establish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rigorous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multi-point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concentration-response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curves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within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validated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non-toxic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thresholds. </w:t>
      </w: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۳. مرور بر منابع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(Literature Review)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Anker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SD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و همکاران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(2021)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پژوهشی با طراحی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RANDOMIZED_CONTROLLED_TRIAL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به ارزیابی اثرات عامل مداخله در مدل بیولوژیک پرداختند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در این مطالعه، شاخص‌های اصلی سنجش عملکرد با تکیه بر پروتکل‌های استاندارد تعیین گردید. یافته‌های اصلی حاکی از آن بود که: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Empagliflozin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Heart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Failure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with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Preserved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Ejection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Fraction.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این بررسی اگرچه افق‌های مهمی در زمینه اثر مداخله گشود، اما به دلیل محدودیت در شرایط دوز یا بازه زمانی، لزوم ارزیابی تکمیلی در طرح حاضر را اثبات می‌کند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Packer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M و همکاران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(2022)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پژوهشی با طراحی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RANDOMIZED_CONTROLLED_TRIAL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به ارزیابی اثرات عامل مداخله در مدل بیولوژیک پرداختند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[2]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در این مطالعه، شاخص‌های اصلی سنجش عملکرد با تکیه بر پروتکل‌های استاندارد تعیین گردید. یافته‌های اصلی حاکی از آن بود که: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Renal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outcomes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EMPEROR-Preserved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trial.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این بررسی اگرچه افق‌های مهمی در زمینه اثر مداخله گشود، اما به دلیل محدودیت در شرایط دوز یا بازه زمانی، لزوم ارزیابی تکمیلی در طرح حاضر را اثبات می‌کند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[2]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 xml:space="preserve">سنتز نقادانه بین‌مطالعه‌ای </w:t>
      </w:r>
      <w:r>
        <w:rPr>
          <w:rFonts w:ascii="Dubai" w:hAnsi="Dubai" w:cs="Dubai"/>
          <w:b/>
          <w:i w:val="0"/>
          <w:color w:val="000000"/>
          <w:sz w:val="23"/>
          <w:szCs w:val="23"/>
          <w:bCs/>
        </w:rPr>
        <w:t xml:space="preserve"> (Cross-Study Synthesis) </w:t>
      </w: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>۴. اهمیت و ضرورت تحقیق (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Significance </w:t>
      </w: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 &amp;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Necessity </w:t>
      </w: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>)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پژوهش حاضر از ابعاد مختلف واجد اهمیت راهبردی و ضرورت بالینی است:</w:t>
      </w:r>
    </w:p>
    <w:p>
      <w:pPr>
        <w:spacing w:before="50" w:after="5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۱.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کاهش بار سلامت و پیامدهای نامطلوب: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مدیریت بهینه و پیشگیری از پیشرفت نارسایی قلبی با کسر تخلیه‌ای حفظ‌شده نیازمند استراتژی‌های نوین مبتنی بر شواهد است.</w:t>
      </w:r>
    </w:p>
    <w:p>
      <w:pPr>
        <w:spacing w:before="50" w:after="5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۲.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تولید شواهد بومی و بین‌المللی: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دستیابی به داده‌های دقیق متدولوژیک و فارماکولوژیک امکان توسعه گایدلاین‌های درمانی را فراهم می‌آورد.</w:t>
      </w:r>
    </w:p>
    <w:p>
      <w:pPr>
        <w:spacing w:before="50" w:after="5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۳.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بهینه‌سازی منابع نظام سلامت: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تعیین اثربخشی و پنجره ایمنی مداخلات به کاهش هزینه‌های درمانی ناشی از بستری‌های مکرر و عوارض جانبی کمک شایانی خواهد نمود.</w:t>
      </w: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۵. تعریف واژه‌ها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(Definition of Terms)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نارسایی قلبی با کسر تخلیه‌ای حفظ‌شده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(Heart Failure with Preserved Ejection Fraction)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وضعیت پاتولوژیک و بالینی مشخص‌شده به عنوان اختلال هدف در پروتکل مطالعه.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▪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Empagliflozin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Sodium-Glucose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Transporter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2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Inhibitor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به عنوان عامل مداخله در طرح پژوهشی حاضر.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▪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Composite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of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CV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Death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or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Heart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Failure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Hospitalization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شاخص پیامد اولیه تعیین‌شده جهت سنجش اثربخشی مداخله در قالب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Hazard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Ratio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(95% CI)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۶. اهداف جزیی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(Specific Objectives) </w:t>
      </w:r>
    </w:p>
    <w:p>
      <w:pPr>
        <w:spacing w:before="50" w:after="5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1.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تعیین تاثیر مواجهه با مداخله بر میزان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Composite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CV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Death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Heart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Failure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Hospitalization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Adult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Patients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with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symptomatic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HFpEF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(LVEF &gt;= 50%)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50" w:after="5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2.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تعیین آستانه ایمنی، تغییرات وابسته به دوز و حداقل غلظت موثر مداخله.</w:t>
      </w: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۷. اهداف کلی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(General Objective)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تعیین بررسی اثرات مهارکننده‌های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SGLT2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بر بستری و مرگ قلبی در بیماران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HFpEF </w:t>
      </w: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۸. اهداف کاربردی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(Applied Objectives) </w:t>
      </w:r>
    </w:p>
    <w:p>
      <w:pPr>
        <w:spacing w:before="50" w:after="5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۱.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ارائه شواهد تجربی و آزمایشگاهی متقن جهت راهنمایی مطالعات پیش‌بالینی و بالینی آینده.</w:t>
      </w:r>
    </w:p>
    <w:p>
      <w:pPr>
        <w:spacing w:before="50" w:after="5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۲.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کمک به تصمیم‌گیری بالینی و پروتکل‌های درمانی مبتنی بر شواهد در مراکز پژوهشی و درمانی.</w:t>
      </w:r>
    </w:p>
    <w:p>
      <w:pPr>
        <w:spacing w:before="50" w:after="5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 xml:space="preserve">۳.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فراهم‌سازی مبنای علمی جهت طراحی فرمولاسیون‌ها یا رژیم‌های درمانی بهینه با حداقل عوارض جانبی.</w:t>
      </w: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>۹. فرضیات و سوالات پژوهش (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Hypotheses </w:t>
      </w: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 &amp;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Research </w:t>
      </w: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Questions </w:t>
      </w: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>)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فرضیه 1: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به نظر می‌رسد مداخله پژوهش اثر معنی‌داری بر تغییر شاخص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Composite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CV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Death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Heart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Failure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Hospitalization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در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Adult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Patients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with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symptomatic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HFpEF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(LVEF &gt;= 50%)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دارد.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سوال پژوهش: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آیا تغییرات مشاهده‌شده در شاخص‌های پیامد وابسته به غلظت مداخله بوده و از نظر آماری معنی‌دار است؟</w:t>
      </w: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>۱۰. دستاوردها (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Achievements </w:t>
      </w: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 &amp;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Deliverables </w:t>
      </w: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>)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تولید داده‌های تجربی ساختارمند: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تدوین دیتاست اعتبارسنجی‌شده پیرامون پاسخ‌های بیولوژیک در مدل مطالعه.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استخراج شاخص‌های کمی و تحلیلی: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تعیین مقادیر عددی دقیق پارامترهای اثربخشی، نقاط عطف و غلظت‌های موثر.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انتشار یافته‌ها در نشریات معتبر بین‌المللی: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چاپ حداقل یک مقاله علمی-پژوهشی در ژورنال‌های معتبر تخصصی علوم پزشکی.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▪ </w:t>
      </w:r>
      <w:r>
        <w:rPr>
          <w:rFonts w:ascii="Dubai" w:hAnsi="Dubai" w:cs="Dubai"/>
          <w:b/>
          <w:i w:val="0"/>
          <w:color w:val="000000"/>
          <w:sz w:val="22"/>
          <w:rtl w:val="1"/>
          <w:szCs w:val="22"/>
          <w:bCs/>
        </w:rPr>
        <w:t>توسعه دانش فنی و ایجاد زیرساخت روش‌شناختی: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بومی‌سازی و بهینه‌سازی متدولوژی سنجش پیامدها در دانشگاه.</w:t>
      </w: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۱۱. جدول متغیرها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(Variable Table) 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505"/>
        <w:gridCol w:w="1505"/>
        <w:gridCol w:w="1505"/>
        <w:gridCol w:w="1505"/>
        <w:gridCol w:w="1505"/>
        <w:gridCol w:w="1505"/>
      </w:tblGrid>
      <w:tr>
        <w:trPr>
          <w:tblHeader/>
          <w:cantSplit/>
        </w:trPr>
        <w:tc>
          <w:tcPr>
            <w:tcW w:type="dxa" w:w="150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نام متغیر</w:t>
            </w:r>
          </w:p>
        </w:tc>
        <w:tc>
          <w:tcPr>
            <w:tcW w:type="dxa" w:w="150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نقش متغیر</w:t>
            </w:r>
          </w:p>
        </w:tc>
        <w:tc>
          <w:tcPr>
            <w:tcW w:type="dxa" w:w="150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نوع متغیر</w:t>
            </w:r>
          </w:p>
        </w:tc>
        <w:tc>
          <w:tcPr>
            <w:tcW w:type="dxa" w:w="150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تعریف عملیاتی</w:t>
            </w:r>
          </w:p>
        </w:tc>
        <w:tc>
          <w:tcPr>
            <w:tcW w:type="dxa" w:w="150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نحوه اندازه‌گیری و ابزار</w:t>
            </w:r>
          </w:p>
        </w:tc>
        <w:tc>
          <w:tcPr>
            <w:tcW w:type="dxa" w:w="150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مقیاس / واحد سنجش</w:t>
            </w:r>
          </w:p>
        </w:tc>
      </w:tr>
      <w:tr>
        <w:trPr>
          <w:cantSplit/>
        </w:trPr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</w:t>
            </w:r>
          </w:p>
        </w:tc>
      </w:tr>
      <w:tr>
        <w:trPr>
          <w:cantSplit/>
        </w:trPr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**Empagliflozin**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مستقل (Independent)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کمی پیوسته (Continuous)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غلظت و دوز مواجهه با Empagliflozin در مدل تجربی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تیتراسیون رقت‌های متوالی در شرایط کنترل‌شده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میکرومولار / غلظت استاندارد</w:t>
            </w:r>
          </w:p>
        </w:tc>
      </w:tr>
      <w:tr>
        <w:trPr>
          <w:cantSplit/>
        </w:trPr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**Composite of CV Death or Heart Failure Hospitalization**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وابسته (Dependent)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کمی پیوسته (Continuous)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میزان تغییر در شاخص Composite of CV Death or Heart Failure Hospitalization نسبت به گروه کنترل منفی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سنجش کمی نوری / الایزا / فلوسایتومتری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Hazard Ratio (95% CI)</w:t>
            </w:r>
          </w:p>
        </w:tc>
      </w:tr>
      <w:tr>
        <w:trPr>
          <w:cantSplit/>
        </w:trPr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**Matching Placebo**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کنترل پایه (Baseline Control)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کیفی رتبه‌ای (Categorical)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شرایط پایه فاقد مداخله فعال جهت نرمال‌سازی داده‌ها (Matching Placebo)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انکوباسیون همزمان در شرایط یکسان با حلال فاقد ماده موثره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فاقد واحد (نسبت به کنترل)</w:t>
            </w:r>
          </w:p>
        </w:tc>
      </w:tr>
      <w:tr>
        <w:trPr>
          <w:cantSplit/>
        </w:trPr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**تعداد پاساژ و یکنواختی محیط کشت / شرایط آزمون**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مخدوشگر بالقوه (Confounder)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کمی گسسته (Discrete)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تغییرات بیولوژیکی ناشی از پیری سلولی یا نوسانات محیط کشت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استفاده از پاساژهای مشخص و یکسان در تمام تکرارهای زیستی</w:t>
            </w:r>
          </w:p>
        </w:tc>
        <w:tc>
          <w:tcPr>
            <w:tcW w:type="dxa" w:w="150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شماره پاساژ</w:t>
            </w:r>
          </w:p>
        </w:tc>
      </w:tr>
    </w:tbl>
    <w:p>
      <w:pPr>
        <w:spacing w:before="80" w:after="120"/>
      </w:pP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>۱۲. جدول زمان‌بندی و مراحل اجرا (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Timeline </w:t>
      </w: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 &amp;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Gantt </w:t>
      </w: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Chart </w:t>
      </w: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>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695"/>
        <w:gridCol w:w="695"/>
        <w:gridCol w:w="695"/>
        <w:gridCol w:w="695"/>
        <w:gridCol w:w="695"/>
        <w:gridCol w:w="695"/>
        <w:gridCol w:w="695"/>
        <w:gridCol w:w="695"/>
        <w:gridCol w:w="695"/>
        <w:gridCol w:w="695"/>
        <w:gridCol w:w="695"/>
        <w:gridCol w:w="695"/>
        <w:gridCol w:w="695"/>
      </w:tblGrid>
      <w:tr>
        <w:trPr>
          <w:tblHeader/>
          <w:cantSplit/>
        </w:trPr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فاز اجرایی و شرح فعالیت‌ها</w:t>
            </w:r>
          </w:p>
        </w:tc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1</w:t>
            </w:r>
          </w:p>
        </w:tc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2</w:t>
            </w:r>
          </w:p>
        </w:tc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3</w:t>
            </w:r>
          </w:p>
        </w:tc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4</w:t>
            </w:r>
          </w:p>
        </w:tc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5</w:t>
            </w:r>
          </w:p>
        </w:tc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6</w:t>
            </w:r>
          </w:p>
        </w:tc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7</w:t>
            </w:r>
          </w:p>
        </w:tc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8</w:t>
            </w:r>
          </w:p>
        </w:tc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9</w:t>
            </w:r>
          </w:p>
        </w:tc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10</w:t>
            </w:r>
          </w:p>
        </w:tc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11</w:t>
            </w:r>
          </w:p>
        </w:tc>
        <w:tc>
          <w:tcPr>
            <w:tcW w:type="dxa" w:w="695"/>
            <w:shd w:fill="F1F4F8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/>
                <w:i w:val="0"/>
                <w:color w:val="1B2631"/>
                <w:sz w:val="21"/>
                <w:rtl w:val="1"/>
                <w:szCs w:val="21"/>
                <w:bCs/>
              </w:rPr>
              <w:t>12</w:t>
            </w:r>
          </w:p>
        </w:tc>
      </w:tr>
      <w:tr>
        <w:trPr>
          <w:cantSplit/>
        </w:trPr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:---: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:---: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:---: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:---: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:---: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:---: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:---: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:---: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:---: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:---: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:---: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:---:</w:t>
            </w:r>
          </w:p>
        </w:tc>
      </w:tr>
      <w:tr>
        <w:trPr>
          <w:cantSplit/>
        </w:trPr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**فاز ۱: ثبت در رجیستری کارآزمایی‌های بالینی و اخذ مجوز کمیته اخلاق**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</w:tr>
      <w:tr>
        <w:trPr>
          <w:cantSplit/>
        </w:trPr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**فاز ۲: غربالگری، اخذ رضایت آگاهانه و ورود بیماران واجد شرایط**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</w:tr>
      <w:tr>
        <w:trPr>
          <w:cantSplit/>
        </w:trPr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**فاز ۳: اجرای پروتکل تصادفی‌سازی، کورسازی و تجویز مداخله**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</w:tr>
      <w:tr>
        <w:trPr>
          <w:cantSplit/>
        </w:trPr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**فاز ۴: پیگیری دوره‌ای بیماران، ثبت عوارض جانبی و سنجش پیامدها**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■</w:t>
            </w:r>
          </w:p>
        </w:tc>
      </w:tr>
      <w:tr>
        <w:trPr>
          <w:cantSplit/>
        </w:trPr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**فاز ۵: پاک‌سازی داده‌ها، خروج از کورسازی و آنالیز آماری طبق پروتکل ITT**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</w:tr>
      <w:tr>
        <w:trPr>
          <w:cantSplit/>
        </w:trPr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  <w:t>**فاز ۶: تدوین گزارش نهایی و تحلیل پیامدهای بالینی**</w:t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  <w:tc>
          <w:tcPr>
            <w:tcW w:type="dxa" w:w="695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D3D3D3"/>
              <w:bottom w:val="single" w:sz="4" w:space="0" w:color="D3D3D3"/>
              <w:left w:val="single" w:sz="4" w:space="0" w:color="D3D3D3"/>
              <w:right w:val="single" w:sz="4" w:space="0" w:color="D3D3D3"/>
            </w:tcBorders>
          </w:tcPr>
          <w:p>
            <w:pPr>
              <w:spacing w:before="40" w:after="40" w:line="276" w:lineRule="auto"/>
              <w:bidi/>
              <w:jc w:val="center"/>
            </w:pPr>
            <w:r/>
            <w:r>
              <w:rPr>
                <w:rFonts w:ascii="Dubai" w:hAnsi="Dubai" w:cs="Dubai"/>
                <w:b w:val="0"/>
                <w:i w:val="0"/>
                <w:color w:val="2C3E50"/>
                <w:sz w:val="20"/>
                <w:rtl w:val="1"/>
                <w:szCs w:val="20"/>
              </w:rPr>
            </w:r>
          </w:p>
        </w:tc>
      </w:tr>
    </w:tbl>
    <w:p>
      <w:pPr>
        <w:spacing w:before="80" w:after="120"/>
      </w:pP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۱۳. روش اجرا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(Methodology) 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۱۳-۱. نوع مطالعه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مطالعه تجربی آزمایشگاهی / بالینی بر مبنای پروتکل‌های استاندارد مصوب.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۱۳-۲. جامعه مورد مطالعه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مدل‌های زیستی، سیستم‌های سلولی یا نمونه‌های انسانی منطبق بر معیارهای مصوب طرح.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۱۳-۳. محل انجام مطالعه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آزمایشگاه‌های تحقیقاتی و مراکز درمانی دانشگاه علوم پزشکی.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۱۳-۴. معیارهای ورود به مطالعه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نمونه‌ها یا سلول‌های واجد خلوص بیولوژیک تاییدشده و شرایط استاندارد کشت.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۱۳-۵. معیارهای خروج از مطالعه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هرگونه آلودگی باکتریایی یا مایکوپلاسمایی، عدم پاسخ‌دهی به کنترل مثبت یا عدم تطابق ژنتیکی.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۱۳-۶. ابزارهای گردآوری اطلاعات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دستگاه‌های سنجش اسپکتروفتومتری، فلوسایتومتری، الایزا ریدر و نرم‌افزارهای تخصصی تحلیلی.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۱۳-۷. تعیین اعتبار ابزار گردآوری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کالیبراسیون استاندارد ابزارهای آزمایشگاهی و مقایسه با استانداردهای مرجع بین‌المللی.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۱۳-۸. تعیین پایایی / قابلیت اعتماد ابزار در صورت نیاز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تکرار مستقل آزمایش‌ها در حداقل سه نوبت زیستی جداگانه با محاسبه ضریب تغییرات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(CV &lt; 10%)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۱۳-۹. حجم نمونه و روش محاسبه آن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تعیین حجم نمونه و تعداد تکرارهای زیستی بر مبنای آزمون توان آماری با آلفای ۵٪ و توان ۸۰٪.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۱۳-۱۰. روش تجزیه و تحلیل داده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تحلیل قصد درمان (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Intention-to-Treat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ITT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) به عنوان استراتژی اولیه تحلیل کارآزمایی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مدل خطرات متناسب کاکس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(Cox Proportional Hazards Model)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جهت برازش نرخ رخدادها و برآورد نسبت خطر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(Hazard Ratio) 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منحنی‌های بقای کاپلان-مایر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(Kaplan-Meier survival curves)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همراه با آزمون لگ-رتبه‌ای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(Log-rank test) 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آزمون‌های مقایسه میانگین زوجی یا تحلیل کوواریانس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(ANCOVA)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برای تنظیم مقادیر پایه</w:t>
      </w:r>
    </w:p>
    <w:p>
      <w:pPr>
        <w:spacing w:before="40" w:after="4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1"/>
          <w:rtl w:val="1"/>
          <w:szCs w:val="21"/>
          <w:bCs/>
        </w:rPr>
        <w:t xml:space="preserve">▪ 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سطح معنی‌داری آماری در تمام تحلیل‌ها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 &lt; 0.05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با فواصل اطمینان ۹۵٪ دوطرفه لحاظ خواهد شد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۱۳-۱۱. ملاحظات اخلاقی در صورت نیاز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رعایت کامل کدهای اخلاق زیستی مصوب کمیته ملی اخلاق در پژوهش‌های زیست‌پزشکی.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۱۳-۱۲. نحوه رعایت نکات امنیتی و حفاظت پروژه در صورت نیاز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رعایت دستورالعمل‌های ایمنی زیستی سطح دو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(BSL-2)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و دفع پسماندهای عفونی طبق پروتکل‌های حفاظت زیستی.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۱۳-۱۳. مشکلات و محدودیت‌ها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کنترل نوسانات کشت زیستی، رفع سمیت‌های زمینه‌ای و بهینه‌سازی فرمولاسیون مداخله.</w:t>
      </w:r>
    </w:p>
    <w:p>
      <w:pPr>
        <w:spacing w:before="240" w:after="8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3"/>
          <w:rtl w:val="1"/>
          <w:szCs w:val="23"/>
          <w:bCs/>
        </w:rPr>
        <w:t>۱۳-۱۴. روش انجام طرح، شیوه اجرایی مراحل طرح و چگونگی جمع‌آوری اطلاعات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اجرای مرحله‌ای آزمایش‌ها طبق فازبندی گانت چارت از تایید هویت تا تحلیل داده‌های نهایی.</w:t>
      </w:r>
    </w:p>
    <w:p>
      <w:pPr>
        <w:spacing w:before="320" w:after="12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8"/>
          <w:rtl w:val="1"/>
          <w:szCs w:val="28"/>
          <w:bCs/>
        </w:rPr>
        <w:t xml:space="preserve">۱۴. فهرست منابع </w:t>
      </w:r>
      <w:r>
        <w:rPr>
          <w:rFonts w:ascii="Dubai" w:hAnsi="Dubai" w:cs="Dubai"/>
          <w:b/>
          <w:i w:val="0"/>
          <w:color w:val="000000"/>
          <w:sz w:val="28"/>
          <w:szCs w:val="28"/>
          <w:bCs/>
        </w:rPr>
        <w:t xml:space="preserve"> (References)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[1]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Anker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SD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Butler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J,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Filippatos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G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al..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Empagliflozin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Heart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Failure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with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a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Preserved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Ejection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Fraction.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New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England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Journal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of </w:t>
      </w:r>
      <w:r>
        <w:rPr>
          <w:rFonts w:ascii="Dubai" w:hAnsi="Dubai" w:cs="Dubai"/>
          <w:b w:val="0"/>
          <w:i/>
          <w:color w:val="000000"/>
          <w:sz w:val="22"/>
          <w:rtl w:val="1"/>
          <w:szCs w:val="22"/>
          <w:iCs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Medicine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2021.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https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//doi.org/10.1056/NEJMoa2107038 </w:t>
      </w:r>
    </w:p>
    <w:p>
      <w:pPr>
        <w:spacing w:before="50" w:after="70" w:line="276" w:lineRule="auto"/>
        <w:bidi/>
        <w:jc w:val="both"/>
      </w:pPr>
      <w:r>
        <w:rPr>
          <w:rFonts w:ascii="Dubai" w:hAnsi="Dubai" w:cs="Dubai"/>
          <w:b/>
          <w:i w:val="0"/>
          <w:color w:val="000000"/>
          <w:sz w:val="22"/>
          <w:szCs w:val="22"/>
          <w:bCs/>
        </w:rPr>
        <w:t xml:space="preserve"> [2]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Packer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M,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Butler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J,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Zannad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F.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Renal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outcomes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in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the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EMPEROR-Preserved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trial.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/>
          <w:color w:val="000000"/>
          <w:sz w:val="22"/>
          <w:szCs w:val="22"/>
          <w:iCs/>
        </w:rPr>
        <w:t xml:space="preserve"> Circulation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.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2022.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DOI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 xml:space="preserve">: 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https </w:t>
      </w:r>
      <w:r>
        <w:rPr>
          <w:rFonts w:ascii="Dubai" w:hAnsi="Dubai" w:cs="Dubai"/>
          <w:b w:val="0"/>
          <w:i w:val="0"/>
          <w:color w:val="000000"/>
          <w:sz w:val="22"/>
          <w:rtl w:val="1"/>
          <w:szCs w:val="22"/>
        </w:rPr>
        <w:t>:</w:t>
      </w:r>
      <w:r>
        <w:rPr>
          <w:rFonts w:ascii="Dubai" w:hAnsi="Dubai" w:cs="Dubai"/>
          <w:b w:val="0"/>
          <w:i w:val="0"/>
          <w:color w:val="000000"/>
          <w:sz w:val="22"/>
          <w:szCs w:val="22"/>
        </w:rPr>
        <w:t xml:space="preserve"> //doi.org/10.1161/CIRCULATIONAHA.121.056824 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  <w:bidi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