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32"/>
          <w:rtl w:val="1"/>
          <w:szCs w:val="32"/>
          <w:bCs/>
        </w:rPr>
        <w:t>پروپوزال طرح تحقیقاتی دانشگاهی (پایان‌نامه / طرح پژوهشی)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۱. موضوع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(Title)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عنوان فارسی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(Persian Title)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بررسی ارزش پیش‌آگهی تیتر آنتی‌بادی ضد گیرنده فسفولیپاز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(anti-PLA2R)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بر پسرفت پروتئینوری و بقای کلیوی در نفروپاتی غشایی ایدیوپاتیک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عنوان انگلیسی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(English Title)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Prognostic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Value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Serial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Anti-Phospholipase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Receptor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(anti-PLA2R)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Autoantibody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Titers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Clinical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Remission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Renal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Survival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Idiopathic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Membranous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Nephropathy 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۲. بیان مسئله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(Problem Statement) 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۱. بار بیماری و اهمیت اپیدمیولوژیک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نفروپاتی غشایی ایدیوپاتیک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(Idiopathic Membranous Nephropathy)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یکی از چالش‌های بنیادین سلامت در جامعه معاصر است که با نرخ بالای بروز، ناتوانی و مرگ‌ومیر همراه بوده و بار اقتصادی-اجتماعی چشمگیری بر سیستم‌های بهداشتی تحمیل می‌کند. بر اساس گزارش‌های اپیدمیولوژیک اخیر، نیاز مبرمی به بهبود استراتژی‌های مداخله‌ای و درمانی وجود دارد.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۲. وضعیت فعلی دانش و درمان‌های استاندارد موجود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در حال حاضر، پروتکل‌های استاندارد درمانی و تشخیصی با تکیه بر دستورالعمل‌های بالینی تثبیت‌شده اعمال می‌گردند. اگرچه این رویکردها توانسته‌اند در مهار مقطعی بیماری یا کاهش عوارض حاد نقش داشته باشند، اما پاسخ‌دهی کامل و ماندگار در درصد قابل توجهی از بیماران حاصل نمی‌شود.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۳. چالش‌ها و محدودیت‌های درمان‌های موجود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محدودیت‌های بارز شامل بروز سمیت‌های سیستمیک، عدم تحمل بالینی، باریک بودن پنجره درمانی، و مهم‌تر از همه ظهور فنوتیپ‌های مقاوم یا عود بیماری است. این عوامل موجب کاهش اثربخشی درمان‌های متداول در درازمدت می‌گردند.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۴. مبانی زیستی و شواهد علمی پیرامون مداخله پژوهش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شواهد تجربی و مولکولی نشان می‌دهند که عامل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Anti-PLA2R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Serum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IgG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Antibody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Titer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عنوان مداخله محوری، واجد خواص فارماکولوژیک و بیولوژیک قابل توجه در تعدیل مسیرهای پاتولوژیک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biopsy-proven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primary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membranous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nephropathy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proteinuria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است.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۵. شواهد موافق، شواهد مخالف و موارد ناشناخته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بررسی پیشینه پژوهش نشان می‌دهد که اگرچه اثرات تک‌عاملی در مطالعات اولیه گزارش شده‌اند، اما در خصوص سازوکارهای مولکولی دقیق، پایداری پاسخ زیستی، و تداخلات دوز-پاسخ در شرایط کنترل‌شده اتفاق نظر قطعی وجود ندارد. همچنین برخی شواهد به محدودیت‌های غلظتی و احتمال مقاومت اشاره دارند.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 xml:space="preserve">۶. ضرورت انجام پژوهش و شکاف شواهد </w:t>
      </w:r>
      <w:r>
        <w:rPr>
          <w:rFonts w:ascii="Dubai" w:hAnsi="Dubai" w:cs="Dubai"/>
          <w:b/>
          <w:i w:val="0"/>
          <w:color w:val="000000"/>
          <w:sz w:val="23"/>
          <w:szCs w:val="23"/>
          <w:bCs/>
        </w:rPr>
        <w:t xml:space="preserve"> (Research Gap)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بررسی سیستماتیک منابع مؤید آن است که شواهد کافی و تجربی جامع پیرامون عملکرد دقیق این مداخله در سیستم مدل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biopsy-proven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primary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membranous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nephropathy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proteinuria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هنوز به صورت کامل مستندسازی نشده است. مطالعه حاضر با هدف پر کردن این خلأ پژوهشی، تعیین دوزهای ایمن، و آزمون فرضیه اثربخشی طراحی شده است.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شکاف‌های پژوهشی شناسایی‌شده بر پایه شواهد: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شکاف پژوهشی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(POPULATION_GAP)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Only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0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studies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evaluate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target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system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'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biopsy-proven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primary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membranous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nephropathy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proteinuria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'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directly.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-&gt;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>راهکار طرح حاضر: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Conduct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systematic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empirical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validation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directly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target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biological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lineage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population. 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شکاف پژوهشی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(MECHANISTIC_GAP)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Signaling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pathway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'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podocyte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immune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complex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deposition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complement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c5b-9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lysis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'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has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insufficient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direct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empirical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evidence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(0 studies)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. -&gt;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>راهکار طرح حاضر: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Analyze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activation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phosphorylation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cleavage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dynamics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for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pathway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'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podocyte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immune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complex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deposition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complement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c5b-9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lysis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'.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شکاف پژوهشی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(DOSE_GAP)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Quantitative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dose-response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boundaries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non-toxic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vehicle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limits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are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under-reported.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-&gt;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>راهکار طرح حاضر: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Establish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rigorous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multi-point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concentration-response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curves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validated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non-toxic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thresholds. 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۳. مرور بر منابع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(Literature Review)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Beck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LH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و همکاران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(2021)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پژوهشی با طراحی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OBSERVATIONAL_COHORT_CASE_CONTROL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ارزیابی اثرات عامل مداخله در مدل بیولوژیک پرداختند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[1]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در این مطالعه، شاخص‌های اصلی سنجش عملکرد با تکیه بر پروتکل‌های استاندارد تعیین گردید. یافته‌های اصلی حاکی از آن بود که: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Anti-PLA2R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antibody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level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predicts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long-term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renal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outcome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treatment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response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membranous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nephropathy.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این بررسی اگرچه افق‌های مهمی در زمینه اثر مداخله گشود، اما به دلیل محدودیت در شرایط دوز یا بازه زمانی، لزوم ارزیابی تکمیلی در طرح حاضر را اثبات می‌کند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[1]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Ruggenenti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P و همکاران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(2023)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پژوهشی با طراحی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OBSERVATIONAL_COHORT_CASE_CONTROL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ارزیابی اثرات عامل مداخله در مدل بیولوژیک پرداختند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[2]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در این مطالعه، شاخص‌های اصلی سنجش عملکرد با تکیه بر پروتکل‌های استاندارد تعیین گردید. یافته‌های اصلی حاکی از آن بود که: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Discordance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between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immunological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clearance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clinical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proteinuria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remission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advanced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glomerulosclerosis.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این بررسی اگرچه افق‌های مهمی در زمینه اثر مداخله گشود، اما به دلیل محدودیت در شرایط دوز یا بازه زمانی، لزوم ارزیابی تکمیلی در طرح حاضر را اثبات می‌کند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[2]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 xml:space="preserve">سنتز نقادانه بین‌مطالعه‌ای </w:t>
      </w:r>
      <w:r>
        <w:rPr>
          <w:rFonts w:ascii="Dubai" w:hAnsi="Dubai" w:cs="Dubai"/>
          <w:b/>
          <w:i w:val="0"/>
          <w:color w:val="000000"/>
          <w:sz w:val="23"/>
          <w:szCs w:val="23"/>
          <w:bCs/>
        </w:rPr>
        <w:t xml:space="preserve"> (Cross-Study Synthesis)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در واکاوی شواهد متناقض و نتایج افتراقی، اختلاف‌های گزارش‌شده عمدتاً ناشی از واگرایی پارامترها (نظیر تفاوت دوز، مدل بیولوژیک یا طول مدت مواجهه) بوده و بر پایه شرایط زمینه‌ای تبیین می‌گردند: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TRUE_CONTRADICTION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(TIME_LIMITATION)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Studies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utilized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ostensibly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identical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experimental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parameters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(dose, duration, model, assay)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yet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observed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conflicting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outcomes.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Suggests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uncharacterized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biological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modifiers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reproducibility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divergence. 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۴. اهمیت و ضرورت تحقیق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Significance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Necessity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پژوهش حاضر از ابعاد مختلف واجد اهمیت راهبردی و ضرورت بالینی است: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۱.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کاهش بار سلامت و پیامدهای نامطلوب: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مدیریت بهینه و پیشگیری از پیشرفت نفروپاتی غشایی ایدیوپاتیک نیازمند استراتژی‌های نوین مبتنی بر شواهد است.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۲.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تولید شواهد بومی و بین‌المللی: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دستیابی به داده‌های دقیق متدولوژیک و فارماکولوژیک امکان توسعه گایدلاین‌های درمانی را فراهم می‌آورد.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۳.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بهینه‌سازی منابع نظام سلامت: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تعیین اثربخشی و پنجره ایمنی مداخلات به کاهش هزینه‌های درمانی ناشی از بستری‌های مکرر و عوارض جانبی کمک شایانی خواهد نمود.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۵. تعریف واژه‌ها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(Definition of Terms)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نفروپاتی غشایی ایدیوپاتیک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(Idiopathic Membranous Nephropathy)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وضعیت پاتولوژیک و بالینی مشخص‌شده به عنوان اختلال هدف در پروتکل مطالعه.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Anti-PLA2R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Serum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IgG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Antibody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Titer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Autoimmune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Glomerular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Biomarker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عنوان عامل مداخله در طرح پژوهشی حاضر.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Complete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Remission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of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Proteinuria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(&lt; 0.3 g/24h)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شاخص پیامد اولیه تعیین‌شده جهت سنجش اثربخشی مداخله در قالب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Time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months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complete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remission.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Doubling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of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Serum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Creatinine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or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End-Stage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Kidney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Disease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شاخص پیامد اولیه تعیین‌شده جهت سنجش اثربخشی مداخله در قالب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Adjusted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Hazard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Ratio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(95% CI)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۶. اهداف جزیی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(Specific Objectives) 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1.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تعیین تاثیر مواجهه با مداخله بر میزان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Complete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Remission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Proteinuria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(&lt; 0.3 g/24h)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biopsy-proven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primary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membranous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nephropathy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proteinuria. 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2.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تعیین تاثیر مواجهه با مداخله بر میزان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Doubling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Serum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Creatinine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End-Stage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Kidney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Disease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biopsy-proven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primary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membranous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nephropathy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proteinuria. 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3.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تعیین آستانه ایمنی، تغییرات وابسته به دوز و حداقل غلظت موثر مداخله.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۷. اهداف کلی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(General Objective)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تعیین بررسی ارزش پیش‌آگهی تیتر آنتی‌بادی ضد گیرنده فسفولیپاز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A2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(anti-PLA2R)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بر پسرفت پروتئینوری و بقای کلیوی در نفروپاتی غشایی ایدیوپاتیک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۸. اهداف کاربردی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(Applied Objectives) 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۱.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ارائه شواهد تجربی و آزمایشگاهی متقن جهت راهنمایی مطالعات پیش‌بالینی و بالینی آینده.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۲.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کمک به تصمیم‌گیری بالینی و پروتکل‌های درمانی مبتنی بر شواهد در مراکز پژوهشی و درمانی.</w:t>
      </w:r>
    </w:p>
    <w:p>
      <w:pPr>
        <w:spacing w:before="50" w:after="5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 xml:space="preserve">۳.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فراهم‌سازی مبنای علمی جهت طراحی فرمولاسیون‌ها یا رژیم‌های درمانی بهینه با حداقل عوارض جانبی.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۹. فرضیات و سوالات پژوهش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Hypotheses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Research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Questions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فرضیه 1: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نظر می‌رسد مداخله پژوهش اثر معنی‌داری بر تغییر شاخص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Complete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Remission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Proteinuria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(&lt; 0.3 g/24h)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biopsy-proven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primary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membranous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nephropathy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proteinuria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دارد.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فرضیه 2: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به نظر می‌رسد مداخله پژوهش اثر معنی‌داری بر تغییر شاخص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Doubling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of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Serum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Creatinine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End-Stage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Kidney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Disease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در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biopsy-proven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primary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membranous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nephropathy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patients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with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nephrotic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range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proteinuria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دارد.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سوال پژوهش: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آیا تغییرات مشاهده‌شده در شاخص‌های پیامد وابسته به غلظت مداخله بوده و از نظر آماری معنی‌دار است؟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۱۰. دستاوردها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Achievements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Deliverables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تولید داده‌های تجربی ساختارمند: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تدوین دیتاست اعتبارسنجی‌شده پیرامون پاسخ‌های بیولوژیک در مدل مطالعه.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استخراج شاخص‌های کمی و تحلیلی: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تعیین مقادیر عددی دقیق پارامترهای اثربخشی، نقاط عطف و غلظت‌های موثر.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انتشار یافته‌ها در نشریات معتبر بین‌المللی: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چاپ حداقل یک مقاله علمی-پژوهشی در ژورنال‌های معتبر تخصصی علوم پزشکی.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▪ </w:t>
      </w:r>
      <w:r>
        <w:rPr>
          <w:rFonts w:ascii="Dubai" w:hAnsi="Dubai" w:cs="Dubai"/>
          <w:b/>
          <w:i w:val="0"/>
          <w:color w:val="000000"/>
          <w:sz w:val="22"/>
          <w:rtl w:val="1"/>
          <w:szCs w:val="22"/>
          <w:bCs/>
        </w:rPr>
        <w:t>توسعه دانش فنی و ایجاد زیرساخت روش‌شناختی: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بومی‌سازی و بهینه‌سازی متدولوژی سنجش پیامدها در دانشگاه.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۱۱. جدول متغیرها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(Variable Table) 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</w:trPr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نام متغیر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نقش متغیر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نوع متغیر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تعریف عملیاتی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نحوه اندازه‌گیری و ابزار</w:t>
            </w:r>
          </w:p>
        </w:tc>
        <w:tc>
          <w:tcPr>
            <w:tcW w:type="dxa" w:w="150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مقیاس / واحد سنجش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**Anti-PLA2R Serum IgG Antibody Titer**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مستقل (Independent)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کمی پیوسته (Continuous)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غلظت و دوز مواجهه با Anti-PLA2R Serum IgG Antibody Titer در مدل تجربی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تیتراسیون رقت‌های متوالی در شرایط کنترل‌شده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میکرومولار / غلظت استاندارد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**Complete Remission of Proteinuria (&lt; 0.3 g/24h)**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وابسته (Dependent)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کمی پیوسته (Continuous)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میزان تغییر در شاخص Complete Remission of Proteinuria (&lt; 0.3 g/24h) نسبت به گروه کنترل منفی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سنجش کمی نوری / الایزا / فلوسایتومتری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Time in months to complete remission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**Doubling of Serum Creatinine or End-Stage Kidney Disease**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وابسته (Dependent)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کمی پیوسته (Continuous)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میزان تغییر در شاخص Doubling of Serum Creatinine or End-Stage Kidney Disease نسبت به گروه کنترل منفی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سنجش کمی نوری / الایزا / فلوسایتومتری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Adjusted Hazard Ratio (95% CI)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**Persistent Seronegative Status (&lt; 14 RU/mL)**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کنترل پایه (Baseline Control)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کیفی رتبه‌ای (Categorical)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شرایط پایه فاقد مداخله فعال جهت نرمال‌سازی داده‌ها (Persistent Seronegative Status (&lt; 14 RU/mL))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انکوباسیون همزمان در شرایط یکسان با حلال فاقد ماده موثره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فاقد واحد (نسبت به کنترل)</w:t>
            </w:r>
          </w:p>
        </w:tc>
      </w:tr>
      <w:tr>
        <w:trPr>
          <w:cantSplit/>
        </w:trPr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**تعداد پاساژ و یکنواختی محیط کشت / شرایط آزمون**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مخدوشگر بالقوه (Confounder)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کمی گسسته (Discrete)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تغییرات بیولوژیکی ناشی از پیری سلولی یا نوسانات محیط کشت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استفاده از پاساژهای مشخص و یکسان در تمام تکرارهای زیستی</w:t>
            </w:r>
          </w:p>
        </w:tc>
        <w:tc>
          <w:tcPr>
            <w:tcW w:type="dxa" w:w="150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شماره پاساژ</w:t>
            </w:r>
          </w:p>
        </w:tc>
      </w:tr>
    </w:tbl>
    <w:p>
      <w:pPr>
        <w:spacing w:before="80" w:after="120"/>
      </w:pP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۱۲. جدول زمان‌بندی و مراحل اجرا (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Timeline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&amp;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Gantt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Chart </w:t>
      </w: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  <w:gridCol w:w="695"/>
      </w:tblGrid>
      <w:tr>
        <w:trPr>
          <w:tblHeader/>
          <w:cantSplit/>
        </w:trPr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فاز اجرایی و شرح فعالیت‌ها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2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3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4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5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6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7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8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9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10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11</w:t>
            </w:r>
          </w:p>
        </w:tc>
        <w:tc>
          <w:tcPr>
            <w:tcW w:type="dxa" w:w="695"/>
            <w:shd w:fill="F1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/>
                <w:i w:val="0"/>
                <w:color w:val="1B2631"/>
                <w:sz w:val="21"/>
                <w:rtl w:val="1"/>
                <w:szCs w:val="21"/>
                <w:bCs/>
              </w:rPr>
              <w:t>12</w:t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:---:</w:t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۱: تعریف کوهورت پیش‌آگهی، معیارهای ورود و ثبت بیومارکرهای پایه**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۲: ارزیابی فاکتورهای پیش‌آگهی و اندازه‌گیری متغیرهای پیش‌بین**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۳: پیگیری بقا و ثبت رخدادهای بالینی (Time-to-Event)**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■</w:t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۴: تحلیل بقای کاپلان-مایر و مدل خطرات متناسب کاکس**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  <w:tr>
        <w:trPr>
          <w:cantSplit/>
        </w:trPr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  <w:t>**فاز ۵: اعتبارسنجی داخلی مدل و گزارش قدرت تفکیک و کالیبراسیون**</w:t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  <w:tc>
          <w:tcPr>
            <w:tcW w:type="dxa" w:w="6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</w:tcPr>
          <w:p>
            <w:pPr>
              <w:spacing w:before="40" w:after="40" w:line="276" w:lineRule="auto"/>
              <w:bidi/>
              <w:jc w:val="center"/>
            </w:pPr>
            <w:r/>
            <w:r>
              <w:rPr>
                <w:rFonts w:ascii="Dubai" w:hAnsi="Dubai" w:cs="Dubai"/>
                <w:b w:val="0"/>
                <w:i w:val="0"/>
                <w:color w:val="2C3E50"/>
                <w:sz w:val="20"/>
                <w:rtl w:val="1"/>
                <w:szCs w:val="20"/>
              </w:rPr>
            </w:r>
          </w:p>
        </w:tc>
      </w:tr>
    </w:tbl>
    <w:p>
      <w:pPr>
        <w:spacing w:before="80" w:after="120"/>
      </w:pP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۱۳. روش اجرا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(Methodology) 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۱۳-۱. نوع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مطالعه تجربی آزمایشگاهی / بالینی بر مبنای پروتکل‌های استاندارد مصوب.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۱۳-۲. جامعه مورد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مدل‌های زیستی، سیستم‌های سلولی یا نمونه‌های انسانی منطبق بر معیارهای مصوب طرح.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۱۳-۳. محل انجام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آزمایشگاه‌های تحقیقاتی و مراکز درمانی دانشگاه علوم پزشکی.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۱۳-۴. معیارهای ورود به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نمونه‌ها یا سلول‌های واجد خلوص بیولوژیک تاییدشده و شرایط استاندارد کشت.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۱۳-۵. معیارهای خروج از مطالعه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هرگونه آلودگی باکتریایی یا مایکوپلاسمایی، عدم پاسخ‌دهی به کنترل مثبت یا عدم تطابق ژنتیکی.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۱۳-۶. ابزارهای گردآوری اطلاعات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دستگاه‌های سنجش اسپکتروفتومتری، فلوسایتومتری، الایزا ریدر و نرم‌افزارهای تخصصی تحلیلی.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۱۳-۷. تعیین اعتبار ابزار گردآوری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کالیبراسیون استاندارد ابزارهای آزمایشگاهی و مقایسه با استانداردهای مرجع بین‌المللی.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۱۳-۸. تعیین پایایی / قابلیت اعتماد ابزار در صورت نیاز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تکرار مستقل آزمایش‌ها در حداقل سه نوبت زیستی جداگانه با محاسبه ضریب تغییرات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(CV &lt; 10%)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۱۳-۹. حجم نمونه و روش محاسبه آن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تعیین حجم نمونه و تعداد تکرارهای زیستی بر مبنای آزمون توان آماری با آلفای ۵٪ و توان ۸۰٪.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۱۳-۱۰. روش تجزیه و تحلیل داده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مدل رگرسیون خطرات متناسب کاکس چندمتغیره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(Multivariable Cox Regression) 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محاسبه شاخص هارل (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Harrell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's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C-index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) جهت سنجش قدرت تفکیک مدل پیش‌آگهی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منحنی کالیبراسیون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(Calibration Plot)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جهت اعتبارسنجی انطباق پیش‌بینی با رخداد واقعی</w:t>
      </w:r>
    </w:p>
    <w:p>
      <w:pPr>
        <w:spacing w:before="40" w:after="4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1"/>
          <w:rtl w:val="1"/>
          <w:szCs w:val="21"/>
          <w:bCs/>
        </w:rPr>
        <w:t xml:space="preserve">▪ 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سطح معنی‌داری آماری در تمام تحلیل‌ها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 &lt; 0.05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با فواصل اطمینان ۹۵٪ دوطرفه لحاظ خواهد شد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۱۳-۱۱. ملاحظات اخلاقی در صورت نیاز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رعایت کامل کدهای اخلاق زیستی مصوب کمیته ملی اخلاق در پژوهش‌های زیست‌پزشکی.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۱۳-۱۲. نحوه رعایت نکات امنیتی و حفاظت پروژه در صورت نیاز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رعایت دستورالعمل‌های ایمنی زیستی سطح دو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(BSL-2)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و دفع پسماندهای عفونی طبق پروتکل‌های حفاظت زیستی.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۱۳-۱۳. مشکلات و محدودیت‌ها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کنترل نوسانات کشت زیستی، رفع سمیت‌های زمینه‌ای و بهینه‌سازی فرمولاسیون مداخله.</w:t>
      </w:r>
    </w:p>
    <w:p>
      <w:pPr>
        <w:spacing w:before="240" w:after="8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3"/>
          <w:rtl w:val="1"/>
          <w:szCs w:val="23"/>
          <w:bCs/>
        </w:rPr>
        <w:t>۱۳-۱۴. روش انجام طرح، شیوه اجرایی مراحل طرح و چگونگی جمع‌آوری اطلاعات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اجرای مرحله‌ای آزمایش‌ها طبق فازبندی گانت چارت از تایید هویت تا تحلیل داده‌های نهایی.</w:t>
      </w:r>
    </w:p>
    <w:p>
      <w:pPr>
        <w:spacing w:before="320" w:after="12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8"/>
          <w:rtl w:val="1"/>
          <w:szCs w:val="28"/>
          <w:bCs/>
        </w:rPr>
        <w:t xml:space="preserve">۱۴. فهرست منابع </w:t>
      </w:r>
      <w:r>
        <w:rPr>
          <w:rFonts w:ascii="Dubai" w:hAnsi="Dubai" w:cs="Dubai"/>
          <w:b/>
          <w:i w:val="0"/>
          <w:color w:val="000000"/>
          <w:sz w:val="28"/>
          <w:szCs w:val="28"/>
          <w:bCs/>
        </w:rPr>
        <w:t xml:space="preserve"> (References)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[1]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Beck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LH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Bonegio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RG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Lambeau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et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al..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Anti-PLA2R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antibody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level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predicts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long-term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renal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outcome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treatment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response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adult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membranous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nephropathy.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Journal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of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the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American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Society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of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Nephrology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2021.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https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//doi.org/10.1681/ASN.2020111624 </w:t>
      </w:r>
    </w:p>
    <w:p>
      <w:pPr>
        <w:spacing w:before="50" w:after="70" w:line="276" w:lineRule="auto"/>
        <w:bidi/>
        <w:jc w:val="both"/>
      </w:pPr>
      <w:r>
        <w:rPr>
          <w:rFonts w:ascii="Dubai" w:hAnsi="Dubai" w:cs="Dubai"/>
          <w:b/>
          <w:i w:val="0"/>
          <w:color w:val="000000"/>
          <w:sz w:val="22"/>
          <w:szCs w:val="22"/>
          <w:bCs/>
        </w:rPr>
        <w:t xml:space="preserve"> [2]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Ruggenenti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Debiec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H,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Ronco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Discordance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between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immunological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clearance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and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clinical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proteinuria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remission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in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advanced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glomerulosclerosis.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Kidney </w:t>
      </w:r>
      <w:r>
        <w:rPr>
          <w:rFonts w:ascii="Dubai" w:hAnsi="Dubai" w:cs="Dubai"/>
          <w:b w:val="0"/>
          <w:i/>
          <w:color w:val="000000"/>
          <w:sz w:val="22"/>
          <w:rtl w:val="1"/>
          <w:szCs w:val="22"/>
          <w:iCs/>
        </w:rPr>
        <w:t xml:space="preserve"> </w:t>
      </w:r>
      <w:r>
        <w:rPr>
          <w:rFonts w:ascii="Dubai" w:hAnsi="Dubai" w:cs="Dubai"/>
          <w:b w:val="0"/>
          <w:i/>
          <w:color w:val="000000"/>
          <w:sz w:val="22"/>
          <w:szCs w:val="22"/>
          <w:iCs/>
        </w:rPr>
        <w:t xml:space="preserve"> International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.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2023.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DOI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 xml:space="preserve">: 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https </w:t>
      </w:r>
      <w:r>
        <w:rPr>
          <w:rFonts w:ascii="Dubai" w:hAnsi="Dubai" w:cs="Dubai"/>
          <w:b w:val="0"/>
          <w:i w:val="0"/>
          <w:color w:val="000000"/>
          <w:sz w:val="22"/>
          <w:rtl w:val="1"/>
          <w:szCs w:val="22"/>
        </w:rPr>
        <w:t>:</w:t>
      </w:r>
      <w:r>
        <w:rPr>
          <w:rFonts w:ascii="Dubai" w:hAnsi="Dubai" w:cs="Dubai"/>
          <w:b w:val="0"/>
          <w:i w:val="0"/>
          <w:color w:val="000000"/>
          <w:sz w:val="22"/>
          <w:szCs w:val="22"/>
        </w:rPr>
        <w:t xml:space="preserve"> //doi.org/10.1016/j.kint.2023.04.018 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  <w:bidi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