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32"/>
          <w:rtl w:val="1"/>
          <w:szCs w:val="32"/>
          <w:bCs/>
        </w:rPr>
        <w:t>پروپوزال طرح تحقیقاتی دانشگاهی (پایان‌نامه / طرح پژوهشی)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۱. موضوع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(Title)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عنوان فارسی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(Persian Title)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: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طرح تحقیقاتی علوم پزشکی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عنوان انگلیسی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(English Title)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: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Medical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Research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Proposal 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۲. بیان مسئله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(Problem Statement) 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۱. بار بیماری و اهمیت اپیدمیولوژیک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سندرم پرادر-ویلی و چاقی شدید کودکان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(Prader-Willi Syndrome and Morbid Obesity)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یکی از چالش‌های بنیادین سلامت در جامعه معاصر است که با نرخ بالای بروز، ناتوانی و مرگ‌ومیر همراه بوده و بار اقتصادی-اجتماعی چشمگیری بر سیستم‌های بهداشتی تحمیل می‌کند. بر اساس گزارش‌های اپیدمیولوژیک اخیر، نیاز مبرمی به بهبود استراتژی‌های مداخله‌ای و درمانی وجود دارد.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۲. وضعیت فعلی دانش و درمان‌های استاندارد موجود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در حال حاضر، پروتکل‌های استاندارد درمانی و تشخیصی با تکیه بر دستورالعمل‌های بالینی تثبیت‌شده اعمال می‌گردند. اگرچه این رویکردها توانسته‌اند در مهار مقطعی بیماری یا کاهش عوارض حاد نقش داشته باشند، اما پاسخ‌دهی کامل و ماندگار در درصد قابل توجهی از بیماران حاصل نمی‌شود.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۳. چالش‌ها و محدودیت‌های درمان‌های موجود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محدودیت‌های بارز شامل بروز سمیت‌های سیستمیک، عدم تحمل بالینی، باریک بودن پنجره درمانی، و مهم‌تر از همه ظهور فنوتیپ‌های مقاوم یا عود بیماری است. این عوامل موجب کاهش اثربخشی درمان‌های متداول در درازمدت می‌گردند.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۴. مبانی زیستی و شواهد علمی پیرامون مداخله پژوهش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شواهد تجربی و مولکولی نشان می‌دهند که عامل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Somatropin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به عنوان مداخله محوری، واجد خواص فارماکولوژیک و بیولوژیک قابل توجه در تعدیل مسیرهای پاتولوژیک در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Pediatric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patients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aged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4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to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12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years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with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genetically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confirmed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Prader-Willi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Syndrome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است.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۵. شواهد موافق، شواهد مخالف و موارد ناشناخته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بررسی پیشینه پژوهش نشان می‌دهد که اگرچه اثرات تک‌عاملی در مطالعات اولیه گزارش شده‌اند، اما در خصوص سازوکارهای مولکولی دقیق، پایداری پاسخ زیستی، و تداخلات دوز-پاسخ در شرایط کنترل‌شده اتفاق نظر قطعی وجود ندارد. همچنین برخی شواهد به محدودیت‌های غلظتی و احتمال مقاومت اشاره دارند.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 xml:space="preserve">۶. ضرورت انجام پژوهش و شکاف شواهد </w:t>
      </w:r>
      <w:r>
        <w:rPr>
          <w:rFonts w:ascii="Dubai" w:hAnsi="Dubai" w:cs="Dubai"/>
          <w:b/>
          <w:i w:val="0"/>
          <w:color w:val="000000"/>
          <w:sz w:val="23"/>
          <w:szCs w:val="23"/>
          <w:bCs/>
        </w:rPr>
        <w:t xml:space="preserve"> (Research Gap)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بررسی سیستماتیک منابع مؤید آن است که شواهد کافی و تجربی جامع پیرامون عملکرد دقیق این مداخله در سیستم مدل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Pediatric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patients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aged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4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to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12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years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with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genetically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confirmed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Prader-Willi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Syndrome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هنوز به صورت کامل مستندسازی نشده است. مطالعه حاضر با هدف پر کردن این خلأ پژوهشی، تعیین دوزهای ایمن، و آزمون فرضیه اثربخشی طراحی شده است.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شکاف‌های پژوهشی شناسایی‌شده بر پایه شواهد: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شکاف پژوهشی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(POPULATION_GAP)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Only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0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studies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evaluate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target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system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'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pediatric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patients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aged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4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to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12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years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with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genetically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confirmed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prader-willi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syndrome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'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directly.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-&gt;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>راهکار طرح حاضر: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Conduct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systematic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empirical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validation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directly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within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target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biological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lineage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patient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population. 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شکاف پژوهشی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(MECHANISTIC_GAP)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Signaling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pathway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'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igf-1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/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lipolysis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protein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anabolism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cascade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'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has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insufficient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direct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empirical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evidence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(0 studies)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. -&gt;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>راهکار طرح حاضر: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Analyze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protein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activation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phosphorylation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cleavage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dynamics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for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pathway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'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igf-1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/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lipolysis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protein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anabolism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cascade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'.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شکاف پژوهشی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(DOSE_GAP)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Quantitative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dose-response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boundaries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non-toxic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vehicle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limits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are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under-reported.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-&gt;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>راهکار طرح حاضر: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Establish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rigorous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multi-point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concentration-response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curves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within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validated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non-toxic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thresholds. 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۳. مرور بر منابع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(Literature Review)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Carrel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AL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(2022)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پژوهشی با طراحی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RANDOMIZED_CONTROLLED_TRIAL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به ارزیابی اثرات عامل مداخله در مدل بیولوژیک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در این مطالعه، شاخص‌های اصلی سنجش عملکرد با تکیه بر پروتکل‌های استاندارد تعیین گردید. یافته‌های اصلی حاکی از آن بود که: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Long-term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randomized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trial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growth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hormone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replacement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demonstrates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sustained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improvement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lean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muscle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accrual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Prader-Willi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syndrome.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این بررسی اگرچه افق‌های مهمی در زمینه اثر مداخله گشود، اما به دلیل محدودیت در شرایط دوز یا بازه زمانی، لزوم ارزیابی تکمیلی در طرح حاضر را اثبات می‌کند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Deal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CL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(2023)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پژوهشی با طراحی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RANDOMIZED_CONTROLLED_TRIAL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به ارزیابی اثرات عامل مداخله در مدل بیولوژیک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در این مطالعه، شاخص‌های اصلی سنجش عملکرد با تکیه بر پروتکل‌های استاندارد تعیین گردید. یافته‌های اصلی حاکی از آن بود که: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Impaired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glucose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tolerance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transient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hyperinsulinemia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during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high-dose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growth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hormone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therapy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obese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syndromes.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این بررسی اگرچه افق‌های مهمی در زمینه اثر مداخله گشود، اما به دلیل محدودیت در شرایط دوز یا بازه زمانی، لزوم ارزیابی تکمیلی در طرح حاضر را اثبات می‌کند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 xml:space="preserve">سنتز نقادانه بین‌مطالعه‌ای </w:t>
      </w:r>
      <w:r>
        <w:rPr>
          <w:rFonts w:ascii="Dubai" w:hAnsi="Dubai" w:cs="Dubai"/>
          <w:b/>
          <w:i w:val="0"/>
          <w:color w:val="000000"/>
          <w:sz w:val="23"/>
          <w:szCs w:val="23"/>
          <w:bCs/>
        </w:rPr>
        <w:t xml:space="preserve"> (Cross-Study Synthesis)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در واکاوی شواهد متناقض و نتایج افتراقی، اختلاف‌های گزارش‌شده عمدتاً ناشی از واگرایی پارامترها (نظیر تفاوت دوز، مدل بیولوژیک یا طول مدت مواجهه) بوده و بر پایه شرایط زمینه‌ای تبیین می‌گردند: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TRUE_CONTRADICTION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(SAFETY_LIMITATION)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Studies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utilized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ostensibly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identical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experimental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parameters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(dose, duration, model, assay)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yet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observed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conflicting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outcomes.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Suggests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uncharacterized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biological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modifiers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reproducibility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divergence. 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>۴. اهمیت و ضرورت تحقیق (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Significance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 &amp;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Necessity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>)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۵. تعریف واژه‌ها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(Definition of Terms) 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۶. اهداف جزیی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(Specific Objectives) 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۷. اهداف کلی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(General Objective)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تعیین طرح تحقیقاتی علوم پزشکی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۸. اهداف کاربردی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(Applied Objectives) 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>۹. فرضیات و سوالات پژوهش (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Hypotheses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 &amp;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Research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Questions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>)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>۱۰. دستاوردها (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Achievements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 &amp;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Deliverables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>)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۱۱. جدول متغیرها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(Variable Table) 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tblHeader/>
          <w:cantSplit/>
        </w:trPr>
        <w:tc>
          <w:tcPr>
            <w:tcW w:type="dxa" w:w="150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نام متغیر</w:t>
            </w:r>
          </w:p>
        </w:tc>
        <w:tc>
          <w:tcPr>
            <w:tcW w:type="dxa" w:w="150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نقش متغیر</w:t>
            </w:r>
          </w:p>
        </w:tc>
        <w:tc>
          <w:tcPr>
            <w:tcW w:type="dxa" w:w="150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نوع متغیر</w:t>
            </w:r>
          </w:p>
        </w:tc>
        <w:tc>
          <w:tcPr>
            <w:tcW w:type="dxa" w:w="150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تعریف عملیاتی</w:t>
            </w:r>
          </w:p>
        </w:tc>
        <w:tc>
          <w:tcPr>
            <w:tcW w:type="dxa" w:w="150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نحوه اندازه‌گیری و ابزار</w:t>
            </w:r>
          </w:p>
        </w:tc>
        <w:tc>
          <w:tcPr>
            <w:tcW w:type="dxa" w:w="150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مقیاس / واحد سنجش</w:t>
            </w:r>
          </w:p>
        </w:tc>
      </w:tr>
      <w:tr>
        <w:trPr>
          <w:cantSplit/>
        </w:trPr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</w:t>
            </w:r>
          </w:p>
        </w:tc>
      </w:tr>
      <w:tr>
        <w:trPr>
          <w:cantSplit/>
        </w:trPr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**Somatropin**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مستقل (Independent)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کمی پیوسته (Continuous)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غلظت و دوز مواجهه با Somatropin در مدل تجربی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تیتراسیون رقت‌های متوالی در شرایط کنترل‌شده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میکرومولار / غلظت استاندارد</w:t>
            </w:r>
          </w:p>
        </w:tc>
      </w:tr>
      <w:tr>
        <w:trPr>
          <w:cantSplit/>
        </w:trPr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**Change in Lean Body Mass by DEXA Scan**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وابسته (Dependent)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کمی پیوسته (Continuous)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میزان تغییر در شاخص Change in Lean Body Mass by DEXA Scan نسبت به گروه کنترل منفی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سنجش کمی نوری / الایزا / فلوسایتومتری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Kilograms lean mass change at 52 weeks</w:t>
            </w:r>
          </w:p>
        </w:tc>
      </w:tr>
      <w:tr>
        <w:trPr>
          <w:cantSplit/>
        </w:trPr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**Homeostatic Model Assessment for Insulin Resistance (HOMA-IR)**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وابسته (Dependent)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کمی پیوسته (Continuous)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میزان تغییر در شاخص Homeostatic Model Assessment for Insulin Resistance (HOMA-IR) نسبت به گروه کنترل منفی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سنجش کمی نوری / الایزا / فلوسایتومتری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HOMA-IR index</w:t>
            </w:r>
          </w:p>
        </w:tc>
      </w:tr>
      <w:tr>
        <w:trPr>
          <w:cantSplit/>
        </w:trPr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**Identical Subcutaneous Placebo Injection**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کنترل پایه (Baseline Control)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کیفی رتبه‌ای (Categorical)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شرایط پایه فاقد مداخله فعال جهت نرمال‌سازی داده‌ها (Identical Subcutaneous Placebo Injection)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انکوباسیون همزمان در شرایط یکسان با حلال فاقد ماده موثره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فاقد واحد (نسبت به کنترل)</w:t>
            </w:r>
          </w:p>
        </w:tc>
      </w:tr>
      <w:tr>
        <w:trPr>
          <w:cantSplit/>
        </w:trPr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**تعداد پاساژ و یکنواختی محیط کشت / شرایط آزمون**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مخدوشگر بالقوه (Confounder)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کمی گسسته (Discrete)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تغییرات بیولوژیکی ناشی از پیری سلولی یا نوسانات محیط کشت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استفاده از پاساژهای مشخص و یکسان در تمام تکرارهای زیستی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شماره پاساژ</w:t>
            </w:r>
          </w:p>
        </w:tc>
      </w:tr>
    </w:tbl>
    <w:p>
      <w:pPr>
        <w:spacing w:before="80" w:after="120"/>
      </w:pP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>۱۲. جدول زمان‌بندی و مراحل اجرا (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Timeline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 &amp;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Gantt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Chart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>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</w:tblGrid>
      <w:tr>
        <w:trPr>
          <w:tblHeader/>
          <w:cantSplit/>
        </w:trPr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فاز اجرایی و شرح فعالیت‌ها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1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2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3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4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5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6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7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8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9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10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11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12</w:t>
            </w:r>
          </w:p>
        </w:tc>
      </w:tr>
      <w:tr>
        <w:trPr>
          <w:cantSplit/>
        </w:trPr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</w:tr>
      <w:tr>
        <w:trPr>
          <w:cantSplit/>
        </w:trPr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**فاز ۱: ثبت در رجیستری کارآزمایی‌های بالینی و اخذ مجوز کمیته اخلاق**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</w:tr>
      <w:tr>
        <w:trPr>
          <w:cantSplit/>
        </w:trPr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**فاز ۲: غربالگری، اخذ رضایت آگاهانه و ورود بیماران واجد شرایط**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</w:tr>
      <w:tr>
        <w:trPr>
          <w:cantSplit/>
        </w:trPr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**فاز ۳: اجرای پروتکل تصادفی‌سازی، کورسازی و تجویز مداخله**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</w:tr>
      <w:tr>
        <w:trPr>
          <w:cantSplit/>
        </w:trPr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**فاز ۴: پیگیری دوره‌ای بیماران، ثبت عوارض جانبی و سنجش پیامدها**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</w:tr>
      <w:tr>
        <w:trPr>
          <w:cantSplit/>
        </w:trPr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**فاز ۵: پاک‌سازی داده‌ها، خروج از کورسازی و آنالیز آماری طبق پروتکل ITT**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</w:tr>
      <w:tr>
        <w:trPr>
          <w:cantSplit/>
        </w:trPr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**فاز ۶: تدوین گزارش نهایی و تحلیل پیامدهای بالینی**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</w:tr>
    </w:tbl>
    <w:p>
      <w:pPr>
        <w:spacing w:before="80" w:after="120"/>
      </w:pP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۱۳. روش اجرا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(Methodology) 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۱۳-۱. نوع مطالعه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مطالعه تجربی آزمایشگاهی / بالینی بر مبنای پروتکل‌های استاندارد مصوب.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۱۳-۲. جامعه مورد مطالعه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مدل‌های زیستی، سیستم‌های سلولی یا نمونه‌های انسانی منطبق بر معیارهای مصوب طرح.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۱۳-۳. محل انجام مطالعه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آزمایشگاه‌های تحقیقاتی و مراکز درمانی دانشگاه علوم پزشکی.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۱۳-۴. معیارهای ورود به مطالعه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نمونه‌ها یا سلول‌های واجد خلوص بیولوژیک تاییدشده و شرایط استاندارد کشت.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۱۳-۵. معیارهای خروج از مطالعه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هرگونه آلودگی باکتریایی یا مایکوپلاسمایی، عدم پاسخ‌دهی به کنترل مثبت یا عدم تطابق ژنتیکی.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۱۳-۶. ابزارهای گردآوری اطلاعات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دستگاه‌های سنجش اسپکتروفتومتری، فلوسایتومتری، الایزا ریدر و نرم‌افزارهای تخصصی تحلیلی.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۱۳-۷. تعیین روایی ابزار گردآوری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کالیبراسیون استاندارد ابزارهای آزمایشگاهی و مقایسه با استانداردهای مرجع بین‌المللی.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۱۳-۸. تعیین پایایی ابزار گردآوری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تکرار مستقل آزمایش‌ها در حداقل سه نوبت زیستی جداگانه با محاسبه ضریب تغییرات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(CV &lt; 10%)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۱۳-۹. حجم نمونه و روش محاسبه آن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تعیین حجم نمونه و تعداد تکرارهای زیستی بر مبنای آزمون توان آماری با آلفای ۵٪ و توان ۸۰٪.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۱۳-۱۰. روش تجزیه و تحلیل داده‌ها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تحلیل قصد درمان (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Intention-to-Treat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ITT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) به عنوان استراتژی اولیه تحلیل کارآزمایی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مدل خطرات متناسب کاکس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(Cox Proportional Hazards Model)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جهت برازش نرخ رخدادها و برآورد نسبت خطر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(Hazard Ratio) 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منحنی‌های بقای کاپلان-مایر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(Kaplan-Meier survival curves)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همراه با آزمون لگ-رتبه‌ای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(Log-rank test) 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آزمون‌های مقایسه میانگین زوجی یا تحلیل کوواریانس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(ANCOVA)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برای تنظیم مقادیر پایه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سطح معنی‌داری آماری در تمام تحلیل‌ها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 &lt; 0.05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با فواصل اطمینان ۹۵٪ دوطرفه لحاظ خواهد شد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۱۳-۱۱. ملاحظات اخلاقی در صورت نیاز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رعایت کامل کدهای اخلاق زیستی مصوب کمیته ملی اخلاق در پژوهش‌های زیست‌پزشکی.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۱۳-۱۲. نحوه رعایت نکات امنیتی و حفاظت پروژه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رعایت دستورالعمل‌های ایمنی زیستی سطح دو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(BSL-2)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و دفع پسماندهای عفونی طبق پروتکل‌های حفاظت زیستی.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۱۳-۱۳. مشکلات و محدودیت‌ها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کنترل نوسانات کشت زیستی، رفع سمیت‌های زمینه‌ای و بهینه‌سازی فرمولاسیون مداخله.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۱۳-۱۴. شیوه اجرایی مراحل طرح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اجرای مرحله‌ای آزمایش‌ها طبق فازبندی گانت چارت از تایید هویت تا تحلیل داده‌های نهایی.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۱۴. فهرست منابع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(References)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Carrel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Myers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Whitman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Long-term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randomized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trial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growth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hormone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replacement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demonstrates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sustained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improvement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lean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muscle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accrual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Prader-Willi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syndrome.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Journal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of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Clinical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Endocrinology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&amp;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Metabolism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2022.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//doi.org/10.1210/clinem/dgac235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Deal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Tony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Hoybye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Impaired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glucose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tolerance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transient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hyperinsulinemia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during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high-dose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growth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hormone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therapy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obese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syndromes.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Clinical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Endocrinology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2023.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//doi.org/10.1111/cen.14890 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  <w:bidi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