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2323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457FD79" w14:textId="121E554C" w:rsidR="00E26A83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
          Defendant is required to be under the supervision of the Office of Community Control for 
          <PyQt5.QtWidgets.QRadioButton/>
          at 0x04D344F0&gt; for a period of 6 Months. 
        </w:t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2323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