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21CRB00615</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Mark</w:t>
      </w:r>
      <w:r w:rsidR="006E4EEB">
        <w:rPr>
          <w:rFonts w:ascii="Palatino Linotype" w:hAnsi="Palatino Linotype"/>
          <w:sz w:val="20"/>
          <w:szCs w:val="20"/>
        </w:rPr>
        <w:t xml:space="preserve"> </w:t>
      </w:r>
      <w:r>
        <w:rPr>
          <w:rFonts w:ascii="Palatino Linotype" w:hAnsi="Palatino Linotype"/>
          <w:sz w:val="20"/>
          <w:szCs w:val="20"/>
        </w:rPr>
        <w:t xml:space="preserve">Borham</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20,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John Celebrezze, Public Defender.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Prosecutor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Prosecutor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Prosecutor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Obstruct Official Business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Possession of Marijuana Drug Paraphernalia</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2921.31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2925.141(C)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M2</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Prosecutor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Prosecutor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Mark Borham: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Magistrate Decision</w:t>
            </w:r>
            <w:r w:rsidRPr="00E53625">
              <w:rPr>
                <w:rFonts w:ascii="Palatino Linotype" w:hAnsi="Palatino Linotype"/>
                <w:sz w:val="20"/>
                <w:szCs w:val="20"/>
              </w:rPr>
              <w:t xml:space="preserve"> 21CRB00615</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