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21CRB00626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Wayne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Frey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6E9FC7B6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March 15,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Criminal Mischief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Disorderly Conduct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2909.07(A)(1)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2917.11A1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  <w:br/>
        <w:t xml:space="preserve"/>
      </w:r>
    </w:p>
    <w:p w14:paraId="737E6069" w14:textId="77777777" w:rsidR="00C45D82" w:rsidRPr="00CE3EF6" w:rsidRDefault="00C45D82" w:rsidP="00C45D82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  <w:u w:val="single"/>
        </w:rPr>
      </w:pPr>
      <w:r w:rsidRPr="00CE3EF6">
        <w:rPr>
          <w:rFonts w:ascii="Palatino Linotype" w:hAnsi="Palatino Linotype"/>
          <w:b/>
          <w:bCs/>
          <w:sz w:val="20"/>
          <w:szCs w:val="20"/>
          <w:u w:val="single"/>
        </w:rPr>
        <w:t>Administrative License Suspension</w:t>
      </w:r>
      <w:r w:rsidRPr="00CE3EF6">
        <w:rPr>
          <w:rFonts w:ascii="Palatino Linotype" w:hAnsi="Palatino Linotype"/>
          <w:b/>
          <w:bCs/>
          <w:sz w:val="20"/>
          <w:szCs w:val="20"/>
        </w:rPr>
        <w:t xml:space="preserve"> </w:t>
      </w:r>
    </w:p>
    <w:p w14:paraId="272C111D" w14:textId="73136422" w:rsidR="00CD0D18" w:rsidRPr="00CE3EF6" w:rsidRDefault="00C45D82" w:rsidP="00CD0D18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Defendant’s operator’s license is subject to an administrative license suspension.  Defendant requested a stay of the administrative license suspension d</w:t>
      </w:r>
      <w:r w:rsidR="00CB5EE1" w:rsidRPr="00CE3EF6">
        <w:rPr>
          <w:rFonts w:ascii="Palatino Linotype" w:hAnsi="Palatino Linotype"/>
          <w:bCs/>
          <w:sz w:val="20"/>
          <w:szCs w:val="20"/>
        </w:rPr>
        <w:t xml:space="preserve">uring the pendency of this case.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B5EE1" w:rsidRPr="00CE3EF6">
        <w:rPr>
          <w:rFonts w:ascii="Palatino Linotype" w:hAnsi="Palatino Linotype"/>
          <w:bCs/>
          <w:sz w:val="20"/>
          <w:szCs w:val="20"/>
        </w:rPr>
        <w:t>The State did not object to the stay.</w:t>
      </w:r>
      <w:r w:rsidR="009F2FAE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CB5EE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83AC2" w:rsidRPr="00CE3EF6">
        <w:rPr>
          <w:rFonts w:ascii="Palatino Linotype" w:hAnsi="Palatino Linotype"/>
          <w:bCs/>
          <w:sz w:val="20"/>
          <w:szCs w:val="20"/>
        </w:rPr>
        <w:t>The Court GRANTED</w:t>
      </w:r>
      <w:r w:rsidRPr="00CE3EF6">
        <w:rPr>
          <w:rFonts w:ascii="Palatino Linotype" w:hAnsi="Palatino Linotype"/>
          <w:bCs/>
          <w:sz w:val="20"/>
          <w:szCs w:val="20"/>
        </w:rPr>
        <w:t xml:space="preserve"> the administrative license suspension </w:t>
      </w:r>
      <w:r w:rsidR="00183AC2" w:rsidRPr="00CE3EF6">
        <w:rPr>
          <w:rFonts w:ascii="Palatino Linotype" w:hAnsi="Palatino Linotype"/>
          <w:bCs/>
          <w:sz w:val="20"/>
          <w:szCs w:val="20"/>
        </w:rPr>
        <w:t xml:space="preserve">and the administrative license suspension is STAYED. </w:t>
      </w:r>
      <w:r w:rsidR="00183AC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D73D86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27F63" w:rsidRPr="00CE3EF6">
        <w:rPr>
          <w:rFonts w:ascii="Palatino Linotype" w:hAnsi="Palatino Linotype"/>
          <w:bCs/>
          <w:sz w:val="20"/>
          <w:szCs w:val="20"/>
        </w:rPr>
        <w:t xml:space="preserve"/>
      </w:r>
      <w:r w:rsidR="002E34A5">
        <w:rPr>
          <w:rFonts w:ascii="Palatino Linotype" w:hAnsi="Palatino Linotype"/>
          <w:bCs/>
          <w:sz w:val="20"/>
          <w:szCs w:val="20"/>
        </w:rPr>
        <w:t>.</w:t>
      </w:r>
      <w:r w:rsidR="00C27F63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Wayne Frey: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255AB" w14:textId="77777777" w:rsidR="00081CCF" w:rsidRDefault="00081CCF" w:rsidP="008F0DC3">
      <w:r>
        <w:separator/>
      </w:r>
    </w:p>
  </w:endnote>
  <w:endnote w:type="continuationSeparator" w:id="0">
    <w:p w14:paraId="24A6A459" w14:textId="77777777" w:rsidR="00081CCF" w:rsidRDefault="00081CC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21CRB00626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54A94" w14:textId="77777777" w:rsidR="00081CCF" w:rsidRDefault="00081CCF" w:rsidP="008F0DC3">
      <w:r>
        <w:separator/>
      </w:r>
    </w:p>
  </w:footnote>
  <w:footnote w:type="continuationSeparator" w:id="0">
    <w:p w14:paraId="2C79D773" w14:textId="77777777" w:rsidR="00081CCF" w:rsidRDefault="00081CC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144</cp:revision>
  <cp:lastPrinted>2018-07-24T14:18:00Z</cp:lastPrinted>
  <dcterms:created xsi:type="dcterms:W3CDTF">2021-11-15T10:11:00Z</dcterms:created>
  <dcterms:modified xsi:type="dcterms:W3CDTF">2022-03-14T15:11:00Z</dcterms:modified>
</cp:coreProperties>
</file>