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100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90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June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>Defendant shall schedule the jail days imposed in this case through the Office of Community Control.</w:t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intermittent days. </w:t>
      </w:r>
      <w:r w:rsidR="009B6965">
        <w:rPr>
          <w:rFonts w:ascii="Palatino Linotype" w:hAnsi="Palatino Linotype"/>
          <w:sz w:val="20"/>
          <w:szCs w:val="20"/>
        </w:rPr>
        <w:t xml:space="preserve">Weekends.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A03FDC" w:rsidRPr="001B313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5B0F5045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28, 2022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229F619C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2021 Honda Civic, license plate 123COOL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30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intensive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3701212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30 days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35939CEF" w14:textId="34CAF45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Red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