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Test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A05881" w14:textId="2BC2BC33" w:rsidR="00B373F9" w:rsidRDefault="00B373F9" w:rsidP="00B373F9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RED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