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39F0C73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requirements of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1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1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1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3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4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