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KATHERINE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NETTLER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concealed carry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14,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KATHERINE NETTLER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21CRB01387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