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21TRC10109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Sarah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Straub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Geoffrey Spall,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Stopping After Accident Info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Reasonable Control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$ 34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$ 233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34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233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81723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 xml:space="preserve">serve </w:t>
      </w:r>
      <w:proofErr w:type="gramStart"/>
      <w:r w:rsidR="00781723" w:rsidRPr="00481842">
        <w:rPr>
          <w:rFonts w:ascii="Palatino Linotype" w:hAnsi="Palatino Linotype"/>
          <w:b/>
          <w:sz w:val="20"/>
          <w:szCs w:val="20"/>
        </w:rPr>
        <w:t xml:space="preserve">263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23,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516D21">
        <w:rPr>
          <w:rFonts w:ascii="Palatino Linotype" w:hAnsi="Palatino Linotype"/>
          <w:sz w:val="20"/>
          <w:szCs w:val="20"/>
        </w:rPr>
        <w:t>Defendant</w:t>
      </w:r>
      <w:proofErr w:type="gramEnd"/>
      <w:r w:rsidRPr="00516D21">
        <w:rPr>
          <w:rFonts w:ascii="Palatino Linotype" w:hAnsi="Palatino Linotype"/>
          <w:sz w:val="20"/>
          <w:szCs w:val="20"/>
        </w:rPr>
        <w:t xml:space="preserve">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 w:rsidRPr="00781723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Sarah Straub: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21TRC10109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