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 informed the Defendant that 18 U.S.C § 922(g)(9) prohibits the Defendant from shipping, transporting, purchasing, possessing</w:t>
      </w:r>
      <w:r w:rsidR="00BD141C">
        <w:rPr>
          <w:rFonts w:ascii="Palatino Linotype" w:hAnsi="Palatino Linotype"/>
          <w:sz w:val="20"/>
          <w:szCs w:val="20"/>
        </w:rPr>
        <w:t xml:space="preserve">,</w:t>
      </w:r>
      <w:r w:rsidR="00C2249E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$ 34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20,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</w:p>
    <w:p w14:paraId="3EC7C9D4" w14:textId="77777777" w:rsidR="00AF5E22" w:rsidRPr="005C3C6D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2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100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ED09D18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 shall contact the Delaware County Jail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Resrt, license plate 123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3701212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30 days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