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25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30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April 05,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06,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5B0F5045" w:rsidR="00FE12A3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March 06, 2022 for a term of 6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Onyedikachukwui Ezeonwu: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