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22CRB00136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Brenda</w:t>
      </w:r>
      <w:r w:rsidR="006E4EEB">
        <w:rPr>
          <w:rFonts w:ascii="Palatino Linotype" w:hAnsi="Palatino Linotype"/>
          <w:sz w:val="20"/>
          <w:szCs w:val="20"/>
        </w:rPr>
        <w:t xml:space="preserve"> </w:t>
      </w:r>
      <w:r>
        <w:rPr>
          <w:rFonts w:ascii="Palatino Linotype" w:hAnsi="Palatino Linotype"/>
          <w:sz w:val="20"/>
          <w:szCs w:val="20"/>
        </w:rPr>
        <w:t xml:space="preserve">Fisher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09,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Prosecutor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Prosecutor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Domestic Violence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Assault - M1</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2919.25(A)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2903.13(A)</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Data</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Data</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Prosecutor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Prosecutor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Brenda Fisher: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22CRB00136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