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0C3DE81"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9B6D7B">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bond_conditions.bond_modification_decision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elif bond_conditions.bond_modification_decision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2CA12761"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bond_conditions.bond_modification_decision == ‘request to modify bond is granted’ %}</w:t>
      </w:r>
      <w:r w:rsidR="00C94E00" w:rsidRPr="006123E5">
        <w:rPr>
          <w:rFonts w:ascii="Palatino Linotype" w:hAnsi="Palatino Linotype"/>
          <w:sz w:val="20"/>
          <w:szCs w:val="20"/>
        </w:rPr>
        <w:t>The Court considered the seriousness of the offense charged</w:t>
      </w:r>
      <w:r w:rsidR="00C94E00">
        <w:rPr>
          <w:rFonts w:ascii="Palatino Linotype" w:hAnsi="Palatino Linotype"/>
          <w:bCs/>
          <w:color w:val="FF0000"/>
          <w:sz w:val="20"/>
          <w:szCs w:val="20"/>
        </w:rPr>
        <w:t>{% if domestic_violence_</w:t>
      </w:r>
      <w:r w:rsidR="00C94E00" w:rsidRPr="00CE4ED1">
        <w:rPr>
          <w:rFonts w:ascii="Palatino Linotype" w:hAnsi="Palatino Linotype"/>
          <w:bCs/>
          <w:color w:val="FF0000"/>
          <w:sz w:val="20"/>
          <w:szCs w:val="20"/>
        </w:rPr>
        <w:t>conditions.ordered is true %}</w:t>
      </w:r>
      <w:r w:rsidR="00C94E00">
        <w:rPr>
          <w:rFonts w:ascii="Palatino Linotype" w:hAnsi="Palatino Linotype"/>
          <w:bCs/>
          <w:color w:val="FF0000"/>
          <w:sz w:val="20"/>
          <w:szCs w:val="20"/>
        </w:rPr>
        <w:t xml:space="preserve"> </w:t>
      </w:r>
      <w:r w:rsidR="00C94E00" w:rsidRPr="00146F86">
        <w:rPr>
          <w:rFonts w:ascii="Palatino Linotype" w:hAnsi="Palatino Linotype"/>
          <w:bCs/>
          <w:sz w:val="20"/>
          <w:szCs w:val="20"/>
        </w:rPr>
        <w:t>and R.C.</w:t>
      </w:r>
      <w:r w:rsidR="00C94E00">
        <w:rPr>
          <w:rFonts w:ascii="Palatino Linotype" w:hAnsi="Palatino Linotype"/>
          <w:bCs/>
          <w:sz w:val="20"/>
          <w:szCs w:val="20"/>
        </w:rPr>
        <w:t xml:space="preserve"> §</w:t>
      </w:r>
      <w:r w:rsidR="00C94E00" w:rsidRPr="00146F86">
        <w:rPr>
          <w:rFonts w:ascii="Palatino Linotype" w:hAnsi="Palatino Linotype"/>
          <w:bCs/>
          <w:sz w:val="20"/>
          <w:szCs w:val="20"/>
        </w:rPr>
        <w:t xml:space="preserve"> 2919.251</w:t>
      </w:r>
      <w:r w:rsidR="00C94E00" w:rsidRPr="00CE4ED1">
        <w:rPr>
          <w:rFonts w:ascii="Palatino Linotype" w:hAnsi="Palatino Linotype"/>
          <w:bCs/>
          <w:color w:val="FF0000"/>
          <w:sz w:val="20"/>
          <w:szCs w:val="20"/>
        </w:rPr>
        <w:t>{% endif %}</w:t>
      </w:r>
      <w:r w:rsidR="00C94E00" w:rsidRPr="006123E5">
        <w:rPr>
          <w:rFonts w:ascii="Palatino Linotype" w:hAnsi="Palatino Linotype"/>
          <w:sz w:val="20"/>
          <w:szCs w:val="20"/>
        </w:rPr>
        <w:t>, the previous criminal record of the Defendant, and the probability of Defendant appearing at trial in setting the below-ordered bond conditions.</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w:t>
      </w:r>
      <w:r w:rsidRPr="00CE3EF6">
        <w:rPr>
          <w:rFonts w:ascii="Palatino Linotype" w:hAnsi="Palatino Linotype"/>
          <w:bCs/>
          <w:sz w:val="20"/>
          <w:szCs w:val="20"/>
        </w:rPr>
        <w:lastRenderedPageBreak/>
        <w:t>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57093FB2" w:rsidR="003D5F88" w:rsidRPr="00CE3EF6" w:rsidRDefault="00F33D55"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maintain sobriety while on bond, shall not possess, consume, or purchase alcohol or drugs of abuse, and shall submit to drug and alcohol testing as directed by the Office of Community Control.</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3606BFB6" w14:textId="77777777" w:rsidR="00731E7F" w:rsidRPr="00CE3EF6" w:rsidRDefault="005D2555" w:rsidP="00731E7F">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endif %}</w:t>
      </w:r>
      <w:r w:rsidR="00731E7F" w:rsidRPr="00CE3EF6">
        <w:rPr>
          <w:rFonts w:ascii="Palatino Linotype" w:hAnsi="Palatino Linotype"/>
          <w:bCs/>
          <w:color w:val="FF0000"/>
          <w:sz w:val="20"/>
          <w:szCs w:val="20"/>
        </w:rPr>
        <w:t xml:space="preserve">{% if </w:t>
      </w:r>
      <w:r w:rsidR="00731E7F">
        <w:rPr>
          <w:rFonts w:ascii="Palatino Linotype" w:hAnsi="Palatino Linotype"/>
          <w:bCs/>
          <w:color w:val="FF0000"/>
          <w:sz w:val="20"/>
          <w:szCs w:val="20"/>
        </w:rPr>
        <w:t>bond_conditions</w:t>
      </w:r>
      <w:r w:rsidR="00731E7F" w:rsidRPr="00CE3EF6">
        <w:rPr>
          <w:rFonts w:ascii="Palatino Linotype" w:hAnsi="Palatino Linotype"/>
          <w:bCs/>
          <w:color w:val="FF0000"/>
          <w:sz w:val="20"/>
          <w:szCs w:val="20"/>
        </w:rPr>
        <w:t>.</w:t>
      </w:r>
      <w:r w:rsidR="00731E7F">
        <w:rPr>
          <w:rFonts w:ascii="Palatino Linotype" w:hAnsi="Palatino Linotype"/>
          <w:bCs/>
          <w:color w:val="FF0000"/>
          <w:sz w:val="20"/>
          <w:szCs w:val="20"/>
        </w:rPr>
        <w:t>fingerprint_in_court</w:t>
      </w:r>
      <w:r w:rsidR="00731E7F" w:rsidRPr="00CE3EF6">
        <w:rPr>
          <w:rFonts w:ascii="Palatino Linotype" w:hAnsi="Palatino Linotype"/>
          <w:bCs/>
          <w:color w:val="FF0000"/>
          <w:sz w:val="20"/>
          <w:szCs w:val="20"/>
        </w:rPr>
        <w:t xml:space="preserve"> is true %}</w:t>
      </w:r>
    </w:p>
    <w:p w14:paraId="7BBAD179" w14:textId="08D28029" w:rsidR="003D5F88" w:rsidRPr="00CE3EF6" w:rsidRDefault="008B514D" w:rsidP="00731E7F">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
          <w:sz w:val="20"/>
          <w:szCs w:val="20"/>
        </w:rPr>
        <w:t xml:space="preserve">Fingerprinting Required: </w:t>
      </w:r>
      <w:r w:rsidR="00731E7F">
        <w:rPr>
          <w:rFonts w:ascii="Palatino Linotype" w:hAnsi="Palatino Linotype"/>
          <w:bCs/>
          <w:sz w:val="20"/>
          <w:szCs w:val="20"/>
        </w:rPr>
        <w:t>Unless defendant was previously fingerprinted for the charges in this case, defendant shall be fingerprinted by court staff today. Failure to be fingerprinted today may result in revocation of defendant’s bond</w:t>
      </w:r>
      <w:r w:rsidR="00731E7F" w:rsidRPr="00CE3EF6">
        <w:rPr>
          <w:rFonts w:ascii="Palatino Linotype" w:hAnsi="Palatino Linotype"/>
          <w:bCs/>
          <w:sz w:val="20"/>
          <w:szCs w:val="20"/>
        </w:rPr>
        <w:t>.</w:t>
      </w:r>
      <w:r w:rsidR="00731E7F"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if admin_license_suspension.ordered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if admin_license_suspension.objection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elif admin_license_suspension.objection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endif %}{% if admin_license_suspension.disposition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elif admin_license_suspension.disposition == ‘Denied’ %}</w:t>
      </w:r>
      <w:r w:rsidRPr="00CE3EF6">
        <w:rPr>
          <w:rFonts w:ascii="Palatino Linotype" w:hAnsi="Palatino Linotype"/>
          <w:bCs/>
          <w:sz w:val="20"/>
          <w:szCs w:val="20"/>
        </w:rPr>
        <w:t xml:space="preserve">The Court DENIED the administrative license suspension and the administrative license suspension IS NOT STAYED. </w:t>
      </w:r>
      <w:r w:rsidRPr="00CE3EF6">
        <w:rPr>
          <w:rFonts w:ascii="Palatino Linotype" w:hAnsi="Palatino Linotype"/>
          <w:bCs/>
          <w:color w:val="FF0000"/>
          <w:sz w:val="20"/>
          <w:szCs w:val="20"/>
        </w:rPr>
        <w:t>{% endif %}{% if admin_license_suspension.explanation is not none %}</w:t>
      </w:r>
      <w:r w:rsidRPr="00CE3EF6">
        <w:rPr>
          <w:rFonts w:ascii="Palatino Linotype" w:hAnsi="Palatino Linotype"/>
          <w:bCs/>
          <w:sz w:val="20"/>
          <w:szCs w:val="20"/>
        </w:rPr>
        <w:t>{{ admin_license_suspension.explanation }}</w:t>
      </w:r>
      <w:r>
        <w:rPr>
          <w:rFonts w:ascii="Palatino Linotype" w:hAnsi="Palatino Linotype"/>
          <w:bCs/>
          <w:sz w:val="20"/>
          <w:szCs w:val="20"/>
        </w:rPr>
        <w:t>.</w:t>
      </w:r>
      <w:r w:rsidRPr="00CE3EF6">
        <w:rPr>
          <w:rFonts w:ascii="Palatino Linotype" w:hAnsi="Palatino Linotype"/>
          <w:bCs/>
          <w:color w:val="FF0000"/>
          <w:sz w:val="20"/>
          <w:szCs w:val="20"/>
        </w:rPr>
        <w:t xml:space="preserve">{% endif %}{% </w:t>
      </w:r>
      <w:r w:rsidRPr="00CE3EF6">
        <w:rPr>
          <w:rFonts w:ascii="Palatino Linotype" w:hAnsi="Palatino Linotype"/>
          <w:bCs/>
          <w:color w:val="FF0000"/>
          <w:sz w:val="20"/>
          <w:szCs w:val="20"/>
        </w:rPr>
        <w:lastRenderedPageBreak/>
        <w:t xml:space="preserve">endif %}{% if </w:t>
      </w:r>
      <w:r>
        <w:rPr>
          <w:rFonts w:ascii="Palatino Linotype" w:hAnsi="Palatino Linotype"/>
          <w:bCs/>
          <w:color w:val="FF0000"/>
          <w:sz w:val="20"/>
          <w:szCs w:val="20"/>
        </w:rPr>
        <w:t>bond_conditions.public_safety_suspension</w:t>
      </w:r>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 if vehicle_seizure.ordered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 vehicle_seizure.vehicle_make_model }}, license plate {{ vehicle_seizure.vehicle_license_plate }}, was seized by law enforcement pursuant to R.C. 4511.195 or 4510.41. </w:t>
      </w:r>
      <w:r w:rsidRPr="00CE3EF6">
        <w:rPr>
          <w:rFonts w:ascii="Palatino Linotype" w:hAnsi="Palatino Linotype"/>
          <w:sz w:val="20"/>
          <w:szCs w:val="20"/>
        </w:rPr>
        <w:t>{{ defendant.first_name }} {{ defendant.last_name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vehicle_seizure.tow_to_residence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 if vehicle_seizure.motion_to_return_vehicle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 vehicle_seizure.state_opposes }} to the motion. Defendant’s motion is {{ vehicle_seizure.disposition_motion_to_return }}. </w:t>
      </w:r>
      <w:r w:rsidRPr="007977B9">
        <w:rPr>
          <w:rFonts w:ascii="Palatino Linotype" w:hAnsi="Palatino Linotype"/>
          <w:bCs/>
          <w:color w:val="FF0000"/>
          <w:sz w:val="20"/>
          <w:szCs w:val="20"/>
        </w:rPr>
        <w:t>{% if vehicle_seizure.disposition_motion_to_return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if other_conditions.ordered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3C3E6974"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A64D34" w:rsidRPr="004F336C">
        <w:rPr>
          <w:rFonts w:ascii="Palatino Linotype" w:hAnsi="Palatino Linotype"/>
        </w:rPr>
        <w:t>_____________________________</w:t>
      </w:r>
      <w:r w:rsidR="00A64D34">
        <w:rPr>
          <w:rFonts w:ascii="Palatino Linotype" w:hAnsi="Palatino Linotype"/>
        </w:rPr>
        <w:t>_</w:t>
      </w:r>
      <w:r w:rsidR="00A64D34" w:rsidRPr="004F336C">
        <w:rPr>
          <w:rFonts w:ascii="Palatino Linotype" w:hAnsi="Palatino Linotype"/>
        </w:rPr>
        <w:t>_</w:t>
      </w:r>
      <w:r w:rsidR="00A64D34" w:rsidRPr="006F1358">
        <w:rPr>
          <w:rFonts w:ascii="Palatino Linotype" w:hAnsi="Palatino Linotype"/>
          <w:sz w:val="16"/>
          <w:szCs w:val="16"/>
        </w:rPr>
        <w:fldChar w:fldCharType="begin"/>
      </w:r>
      <w:r w:rsidR="00A64D34" w:rsidRPr="006F1358">
        <w:rPr>
          <w:rFonts w:ascii="Palatino Linotype" w:hAnsi="Palatino Linotype"/>
          <w:sz w:val="16"/>
          <w:szCs w:val="16"/>
        </w:rPr>
        <w:instrText xml:space="preserve"> PRINTDATE  \@ "M/d/yy"  \* MERGEFORMAT </w:instrText>
      </w:r>
      <w:r w:rsidR="00A64D34" w:rsidRPr="006F1358">
        <w:rPr>
          <w:rFonts w:ascii="Palatino Linotype" w:hAnsi="Palatino Linotype"/>
          <w:sz w:val="16"/>
          <w:szCs w:val="16"/>
        </w:rPr>
        <w:fldChar w:fldCharType="separate"/>
      </w:r>
      <w:r w:rsidR="00A64D34" w:rsidRPr="006F1358">
        <w:rPr>
          <w:rFonts w:ascii="Palatino Linotype" w:hAnsi="Palatino Linotype"/>
          <w:noProof/>
          <w:sz w:val="16"/>
          <w:szCs w:val="16"/>
        </w:rPr>
        <w:t>3/1/24</w:t>
      </w:r>
      <w:r w:rsidR="00A64D34" w:rsidRPr="006F1358">
        <w:rPr>
          <w:rFonts w:ascii="Palatino Linotype" w:hAnsi="Palatino Linotype"/>
          <w:sz w:val="16"/>
          <w:szCs w:val="16"/>
        </w:rPr>
        <w:fldChar w:fldCharType="end"/>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30F30EE"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r w:rsidR="006E1F46">
        <w:rPr>
          <w:rFonts w:ascii="Palatino Linotype" w:hAnsi="Palatino Linotype"/>
          <w:sz w:val="16"/>
          <w:szCs w:val="16"/>
        </w:rPr>
        <w:t xml:space="preserve"> Victim’s Attorney (if applicable): PS   OS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E4B3C" w14:textId="77777777" w:rsidR="001F5381" w:rsidRDefault="001F5381" w:rsidP="008F0DC3">
      <w:r>
        <w:separator/>
      </w:r>
    </w:p>
  </w:endnote>
  <w:endnote w:type="continuationSeparator" w:id="0">
    <w:p w14:paraId="0866CE26" w14:textId="77777777" w:rsidR="001F5381" w:rsidRDefault="001F538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2500B0CC"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383E395D" w14:textId="77777777" w:rsidR="00A64D34" w:rsidRPr="006F1358" w:rsidRDefault="00A64D34" w:rsidP="00A64D34">
    <w:pPr>
      <w:pStyle w:val="Footer"/>
      <w:jc w:val="right"/>
      <w:rPr>
        <w:rFonts w:ascii="Palatino Linotype" w:hAnsi="Palatino Linotype"/>
        <w:sz w:val="12"/>
        <w:szCs w:val="12"/>
      </w:rPr>
    </w:pPr>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0BA76" w14:textId="77777777" w:rsidR="001F5381" w:rsidRDefault="001F5381" w:rsidP="008F0DC3">
      <w:r>
        <w:separator/>
      </w:r>
    </w:p>
  </w:footnote>
  <w:footnote w:type="continuationSeparator" w:id="0">
    <w:p w14:paraId="15EC7945" w14:textId="77777777" w:rsidR="001F5381" w:rsidRDefault="001F538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37ED8"/>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5381"/>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583F"/>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0289"/>
    <w:rsid w:val="00682EB0"/>
    <w:rsid w:val="0068523F"/>
    <w:rsid w:val="006872B9"/>
    <w:rsid w:val="00691241"/>
    <w:rsid w:val="006954CB"/>
    <w:rsid w:val="006956E4"/>
    <w:rsid w:val="00696B0D"/>
    <w:rsid w:val="006A0A37"/>
    <w:rsid w:val="006A1330"/>
    <w:rsid w:val="006A2D04"/>
    <w:rsid w:val="006B4113"/>
    <w:rsid w:val="006B5767"/>
    <w:rsid w:val="006B61EC"/>
    <w:rsid w:val="006B7D19"/>
    <w:rsid w:val="006C07A3"/>
    <w:rsid w:val="006D2B1C"/>
    <w:rsid w:val="006D3368"/>
    <w:rsid w:val="006D4146"/>
    <w:rsid w:val="006D6C55"/>
    <w:rsid w:val="006E1B83"/>
    <w:rsid w:val="006E1BC9"/>
    <w:rsid w:val="006E1F46"/>
    <w:rsid w:val="006E22A1"/>
    <w:rsid w:val="006E4EEB"/>
    <w:rsid w:val="007001ED"/>
    <w:rsid w:val="00710FE5"/>
    <w:rsid w:val="0071247A"/>
    <w:rsid w:val="00731E7F"/>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B514D"/>
    <w:rsid w:val="008C2473"/>
    <w:rsid w:val="008C247A"/>
    <w:rsid w:val="008C46CA"/>
    <w:rsid w:val="008D0C49"/>
    <w:rsid w:val="008D1961"/>
    <w:rsid w:val="008D3B3A"/>
    <w:rsid w:val="008E1D0B"/>
    <w:rsid w:val="008E33EE"/>
    <w:rsid w:val="008E408B"/>
    <w:rsid w:val="008E4DCA"/>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B6D7B"/>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4D34"/>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12B"/>
    <w:rsid w:val="00AC321A"/>
    <w:rsid w:val="00AC33A9"/>
    <w:rsid w:val="00AC58F6"/>
    <w:rsid w:val="00AD4C05"/>
    <w:rsid w:val="00AD672B"/>
    <w:rsid w:val="00AD74E3"/>
    <w:rsid w:val="00AE3BCD"/>
    <w:rsid w:val="00AE45E8"/>
    <w:rsid w:val="00AF1223"/>
    <w:rsid w:val="00AF1A36"/>
    <w:rsid w:val="00AF1B7B"/>
    <w:rsid w:val="00AF323E"/>
    <w:rsid w:val="00AF4DB1"/>
    <w:rsid w:val="00AF6669"/>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4E00"/>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D4B8C"/>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3C95"/>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3D55"/>
    <w:rsid w:val="00F3436B"/>
    <w:rsid w:val="00F35619"/>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cp:revision>
  <cp:lastPrinted>2018-07-24T14:18:00Z</cp:lastPrinted>
  <dcterms:created xsi:type="dcterms:W3CDTF">2022-04-09T11:06:00Z</dcterms:created>
  <dcterms:modified xsi:type="dcterms:W3CDTF">2025-03-12T15:53:00Z</dcterms:modified>
</cp:coreProperties>
</file>