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 if fta_conditions.forfeit_license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E52632">
      <w:pPr>
        <w:tabs>
          <w:tab w:val="center" w:pos="4680"/>
        </w:tabs>
        <w:rPr>
          <w:rFonts w:ascii="Palatino Linotype" w:hAnsi="Palatino Linotype"/>
          <w:bCs/>
          <w:sz w:val="20"/>
          <w:szCs w:val="20"/>
        </w:rPr>
      </w:pPr>
    </w:p>
    <w:p w14:paraId="2642530C" w14:textId="35EE56B0" w:rsidR="00F32DB7" w:rsidRDefault="00C706B8" w:rsidP="00F32DB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190138A0" w14:textId="5EE61DF3" w:rsidR="00C706B8" w:rsidRDefault="00C706B8" w:rsidP="00C706B8">
      <w:pPr>
        <w:tabs>
          <w:tab w:val="center" w:pos="4680"/>
        </w:tabs>
        <w:rPr>
          <w:rFonts w:ascii="Palatino Linotype" w:hAnsi="Palatino Linotype"/>
          <w:b/>
          <w:sz w:val="20"/>
          <w:szCs w:val="20"/>
          <w:u w:val="single"/>
        </w:rPr>
      </w:pPr>
    </w:p>
    <w:p w14:paraId="3D17EC96" w14:textId="0E2417E0" w:rsidR="00C706B8" w:rsidRPr="00C706B8" w:rsidRDefault="00C706B8" w:rsidP="00C706B8">
      <w:pPr>
        <w:tabs>
          <w:tab w:val="center" w:pos="4680"/>
        </w:tabs>
        <w:rPr>
          <w:rFonts w:ascii="Palatino Linotype" w:hAnsi="Palatino Linotype"/>
          <w:bCs/>
          <w:sz w:val="20"/>
          <w:szCs w:val="20"/>
        </w:rPr>
      </w:pPr>
      <w:r>
        <w:rPr>
          <w:rFonts w:ascii="Palatino Linotype" w:hAnsi="Palatino Linotype"/>
          <w:bCs/>
          <w:sz w:val="20"/>
          <w:szCs w:val="20"/>
        </w:rPr>
        <w:t xml:space="preserve">    </w:t>
      </w:r>
      <w:r w:rsidR="000A04BE">
        <w:rPr>
          <w:rFonts w:ascii="Palatino Linotype" w:hAnsi="Palatino Linotype"/>
          <w:bCs/>
          <w:sz w:val="20"/>
          <w:szCs w:val="20"/>
        </w:rPr>
        <w:t xml:space="preserve">{% if fta_conditions.bond_type == ‘No Bond’ %}Upon apprehension or appearance, Defendant shall be held 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sidR="000A04BE">
        <w:rPr>
          <w:rFonts w:ascii="Palatino Linotype" w:hAnsi="Palatino Linotype"/>
          <w:bCs/>
          <w:sz w:val="20"/>
          <w:szCs w:val="20"/>
        </w:rPr>
        <w:t xml:space="preserve">{% elif fta_conditions.bond_type </w:t>
      </w:r>
      <w:r w:rsidR="005D6193">
        <w:rPr>
          <w:rFonts w:ascii="Palatino Linotype" w:hAnsi="Palatino Linotype"/>
          <w:bCs/>
          <w:sz w:val="20"/>
          <w:szCs w:val="20"/>
        </w:rPr>
        <w:t>=</w:t>
      </w:r>
      <w:r w:rsidR="000A04BE">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sidR="000A04BE">
        <w:rPr>
          <w:rFonts w:ascii="Palatino Linotype" w:hAnsi="Palatino Linotype"/>
          <w:bCs/>
          <w:sz w:val="20"/>
          <w:szCs w:val="20"/>
        </w:rPr>
        <w:lastRenderedPageBreak/>
        <w:t>%}</w:t>
      </w:r>
      <w:r>
        <w:rPr>
          <w:rFonts w:ascii="Palatino Linotype" w:hAnsi="Palatino Linotype"/>
          <w:bCs/>
          <w:sz w:val="20"/>
          <w:szCs w:val="20"/>
        </w:rPr>
        <w:t>The bond set for the Defendant is a {{ fta_conditions.bond_type }} in the amount of {{ fta_conditions.bond_amount }}. {% endif %}</w:t>
      </w:r>
      <w:r w:rsidR="00C449FA">
        <w:rPr>
          <w:rFonts w:ascii="Palatino Linotype" w:hAnsi="Palatino Linotype"/>
          <w:bCs/>
          <w:sz w:val="20"/>
          <w:szCs w:val="20"/>
        </w:rPr>
        <w:t>{% endif %}</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5EA4" w14:textId="77777777" w:rsidR="007875F0" w:rsidRDefault="007875F0" w:rsidP="008F0DC3">
      <w:r>
        <w:separator/>
      </w:r>
    </w:p>
  </w:endnote>
  <w:endnote w:type="continuationSeparator" w:id="0">
    <w:p w14:paraId="757E7333" w14:textId="77777777" w:rsidR="007875F0" w:rsidRDefault="007875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B8412" w14:textId="77777777" w:rsidR="007875F0" w:rsidRDefault="007875F0" w:rsidP="008F0DC3">
      <w:r>
        <w:separator/>
      </w:r>
    </w:p>
  </w:footnote>
  <w:footnote w:type="continuationSeparator" w:id="0">
    <w:p w14:paraId="2F3C4AE0" w14:textId="77777777" w:rsidR="007875F0" w:rsidRDefault="007875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2018-07-24T14:18:00Z</cp:lastPrinted>
  <dcterms:created xsi:type="dcterms:W3CDTF">2022-03-19T09:22:00Z</dcterms:created>
  <dcterms:modified xsi:type="dcterms:W3CDTF">2022-04-05T19:21:00Z</dcterms:modified>
</cp:coreProperties>
</file>