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 </w:t>
      </w:r>
      <w:proofErr w:type="spellStart"/>
      <w:r w:rsidRPr="00244245">
        <w:rPr>
          <w:rFonts w:ascii="Palatino Linotype" w:hAnsi="Palatino Linotype"/>
          <w:sz w:val="20"/>
          <w:szCs w:val="20"/>
        </w:rPr>
        <w:t>case_number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bookmarkStart w:id="1" w:name="_GoBack"/>
      <w:bookmarkEnd w:id="1"/>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 </w:t>
      </w:r>
      <w:proofErr w:type="spellStart"/>
      <w:r w:rsidR="00EC7B28">
        <w:rPr>
          <w:rFonts w:ascii="Palatino Linotype" w:hAnsi="Palatino Linotype"/>
          <w:sz w:val="16"/>
          <w:szCs w:val="16"/>
        </w:rPr>
        <w:t>defendant.first_name</w:t>
      </w:r>
      <w:proofErr w:type="spellEnd"/>
      <w:r w:rsidR="00EC7B28">
        <w:rPr>
          <w:rFonts w:ascii="Palatino Linotype" w:hAnsi="Palatino Linotype"/>
          <w:sz w:val="16"/>
          <w:szCs w:val="16"/>
        </w:rPr>
        <w:t xml:space="preserve"> }} {{ </w:t>
      </w:r>
      <w:proofErr w:type="spellStart"/>
      <w:r w:rsidR="00EC7B28">
        <w:rPr>
          <w:rFonts w:ascii="Palatino Linotype" w:hAnsi="Palatino Linotype"/>
          <w:sz w:val="16"/>
          <w:szCs w:val="16"/>
        </w:rPr>
        <w:t>defendant.last_name</w:t>
      </w:r>
      <w:proofErr w:type="spellEnd"/>
      <w:r w:rsidR="00EC7B28">
        <w:rPr>
          <w:rFonts w:ascii="Palatino Linotype" w:hAnsi="Palatino Linotype"/>
          <w:sz w:val="16"/>
          <w:szCs w:val="16"/>
        </w:rPr>
        <w:t>}}</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9CAE8" w14:textId="77777777" w:rsidR="001545F3" w:rsidRDefault="001545F3" w:rsidP="00244245">
      <w:r>
        <w:separator/>
      </w:r>
    </w:p>
  </w:endnote>
  <w:endnote w:type="continuationSeparator" w:id="0">
    <w:p w14:paraId="65ADED1A" w14:textId="77777777" w:rsidR="001545F3" w:rsidRDefault="001545F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w:t>
    </w:r>
    <w:proofErr w:type="gramStart"/>
    <w:r w:rsidRPr="00DF2959">
      <w:rPr>
        <w:rFonts w:ascii="Palatino Linotype" w:hAnsi="Palatino Linotype"/>
        <w:sz w:val="20"/>
        <w:szCs w:val="20"/>
      </w:rPr>
      <w:t xml:space="preserve">{ </w:t>
    </w:r>
    <w:proofErr w:type="spellStart"/>
    <w:r w:rsidRPr="00DF2959">
      <w:rPr>
        <w:rFonts w:ascii="Palatino Linotype" w:hAnsi="Palatino Linotype"/>
        <w:sz w:val="20"/>
        <w:szCs w:val="20"/>
      </w:rPr>
      <w:t>case</w:t>
    </w:r>
    <w:proofErr w:type="gramEnd"/>
    <w:r w:rsidRPr="00DF2959">
      <w:rPr>
        <w:rFonts w:ascii="Palatino Linotype" w:hAnsi="Palatino Linotype"/>
        <w:sz w:val="20"/>
        <w:szCs w:val="20"/>
      </w:rPr>
      <w:t>_number</w:t>
    </w:r>
    <w:proofErr w:type="spellEnd"/>
    <w:r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A8C07" w14:textId="77777777" w:rsidR="001545F3" w:rsidRDefault="001545F3" w:rsidP="00244245">
      <w:r>
        <w:separator/>
      </w:r>
    </w:p>
  </w:footnote>
  <w:footnote w:type="continuationSeparator" w:id="0">
    <w:p w14:paraId="6CA0D913" w14:textId="77777777" w:rsidR="001545F3" w:rsidRDefault="001545F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18</cp:revision>
  <dcterms:created xsi:type="dcterms:W3CDTF">2021-10-29T15:10:00Z</dcterms:created>
  <dcterms:modified xsi:type="dcterms:W3CDTF">2022-01-09T13:13:00Z</dcterms:modified>
</cp:coreProperties>
</file>