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defendant_first_name</w:t>
      </w:r>
      <w:proofErr w:type="spellEnd"/>
      <w:r w:rsidRPr="00100A62">
        <w:rPr>
          <w:rFonts w:ascii="Palatino Linotype" w:hAnsi="Palatino Linotype"/>
          <w:sz w:val="20"/>
          <w:szCs w:val="20"/>
        </w:rPr>
        <w:t xml:space="preserve"> }}</w:t>
      </w:r>
      <w:bookmarkStart w:id="0" w:name="_GoBack"/>
      <w:bookmarkEnd w:id="0"/>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The court has reviewed the magistrate’s decision filed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