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w:t>
      </w:r>
      <w:r w:rsidR="000350BA" w:rsidRPr="00CE3EF6">
        <w:rPr>
          <w:rFonts w:ascii="Palatino Linotype" w:hAnsi="Palatino Linotype"/>
          <w:bCs/>
          <w:sz w:val="20"/>
          <w:szCs w:val="20"/>
        </w:rPr>
        <w:lastRenderedPageBreak/>
        <w:t>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