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21TRC10061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Nneoma</w:t>
      </w:r>
      <w:r w:rsidR="006E4EEB">
        <w:rPr>
          <w:rFonts w:ascii="Palatino Linotype" w:hAnsi="Palatino Linotype"/>
          <w:sz w:val="20"/>
          <w:szCs w:val="20"/>
        </w:rPr>
        <w:t xml:space="preserve"> </w:t>
      </w:r>
      <w:r>
        <w:rPr>
          <w:rFonts w:ascii="Palatino Linotype" w:hAnsi="Palatino Linotype"/>
          <w:sz w:val="20"/>
          <w:szCs w:val="20"/>
        </w:rPr>
        <w:t xml:space="preserve">Anaba</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trial to court</w:t>
      </w:r>
      <w:r w:rsidRPr="00FC46AD">
        <w:rPr>
          <w:rFonts w:ascii="Palatino Linotype" w:hAnsi="Palatino Linotype"/>
          <w:sz w:val="20"/>
          <w:szCs w:val="20"/>
        </w:rPr>
        <w:t xml:space="preserve"> on March 06,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None.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None</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None</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14,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642"/>
        <w:gridCol w:w="4019"/>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Urine- Drug Marij Metabolite 35 Nanograms &gt;</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4511.19A1Jviii(II)</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None</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None</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Nneoma Anaba: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Magistrate Decision</w:t>
            </w:r>
            <w:r w:rsidRPr="00E53625">
              <w:rPr>
                <w:rFonts w:ascii="Palatino Linotype" w:hAnsi="Palatino Linotype"/>
                <w:sz w:val="20"/>
                <w:szCs w:val="20"/>
              </w:rPr>
              <w:t xml:space="preserve"> 21TRC10061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