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21CRB00615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John Celebrezze, Public Defender.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Obstruct Official Business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2921.31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0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>Defendant shall receive credit for </w:t>
      </w:r>
      <w:r w:rsidR="00C4250A" w:rsidRPr="00623467">
        <w:rPr>
          <w:rFonts w:ascii="Palatino Linotype" w:hAnsi="Palatino Linotype"/>
          <w:b/>
          <w:bCs/>
          <w:sz w:val="20"/>
          <w:szCs w:val="20"/>
        </w:rPr>
        <w:t xml:space="preserve">0</w:t>
      </w:r>
      <w:r w:rsidR="00C4250A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C4250A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C4250A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C4250A" w:rsidRPr="00D14F22">
        <w:rPr>
          <w:rFonts w:ascii="Palatino Linotype" w:hAnsi="Palatino Linotype"/>
          <w:sz w:val="20"/>
          <w:szCs w:val="20"/>
        </w:rPr>
        <w:t xml:space="preserve">. </w:t>
      </w:r>
      <w:r w:rsidR="00983957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Mark Borham: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21CRB00615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