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23,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6A7AFB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6A7AFB">
        <w:rPr>
          <w:rFonts w:ascii="Palatino Linotype" w:hAnsi="Palatino Linotype"/>
          <w:sz w:val="20"/>
          <w:szCs w:val="20"/>
        </w:rPr>
        <w:t>the Defendant’s</w:t>
      </w:r>
      <w:r w:rsidR="00842C92" w:rsidRPr="00FC46AD">
        <w:rPr>
          <w:rFonts w:ascii="Palatino Linotype" w:hAnsi="Palatino Linotype"/>
          <w:sz w:val="20"/>
          <w:szCs w:val="20"/>
        </w:rPr>
        <w:t xml:space="preserve"> operator’s license may be </w:t>
      </w:r>
      <w:r w:rsidR="00842C92" w:rsidRPr="00FC46AD">
        <w:rPr>
          <w:rFonts w:ascii="Palatino Linotype" w:hAnsi="Palatino Linotype"/>
          <w:sz w:val="20"/>
          <w:szCs w:val="20"/>
        </w:rPr>
        <w:lastRenderedPageBreak/>
        <w:t xml:space="preserve">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